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900" w:lineRule="exact"/>
        <w:jc w:val="both"/>
        <w:rPr>
          <w:rFonts w:hint="eastAsia" w:ascii="微软雅黑" w:hAnsi="微软雅黑" w:eastAsia="微软雅黑"/>
          <w:b/>
          <w:color w:val="FF0000"/>
          <w:sz w:val="44"/>
          <w:szCs w:val="44"/>
        </w:rPr>
      </w:pPr>
      <w:r>
        <w:rPr>
          <w:color w:val="FF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369570</wp:posOffset>
                </wp:positionH>
                <wp:positionV relativeFrom="paragraph">
                  <wp:posOffset>169545</wp:posOffset>
                </wp:positionV>
                <wp:extent cx="1828800" cy="182880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color w:val="4A452A" w:themeColor="background2" w:themeShade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1pt;margin-top:13.35pt;height:144pt;width:144pt;mso-wrap-style:none;z-index:251698176;mso-width-relative:page;mso-height-relative:page;" filled="f" stroked="f" coordsize="21600,21600" o:gfxdata="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MuALHtYAAAAJAQAADwAAAAAA&#10;AAABACAAAAAiAAAAZHJzL2Rvd25yZXYueG1sUEsBAhQAFAAAAAgAh07iQMczNYcVAgAAHAQAAA4A&#10;AAAAAAAAAQAgAAAAJQEAAGRycy9lMm9Eb2MueG1sUEsFBgAAAAAGAAYAWQEAAKw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color w:val="4A452A" w:themeColor="background2" w:themeShade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0000"/>
          <w:sz w:val="44"/>
          <w:szCs w:val="44"/>
        </w:rPr>
        <w:t>人力资源“七定”微咨询式管理培训——</w:t>
      </w:r>
    </w:p>
    <w:p>
      <w:pPr>
        <w:spacing w:line="900" w:lineRule="exact"/>
        <w:ind w:firstLine="2201" w:firstLineChars="500"/>
        <w:jc w:val="both"/>
        <w:rPr>
          <w:rFonts w:hint="eastAsia" w:ascii="微软雅黑" w:hAnsi="微软雅黑" w:eastAsia="微软雅黑"/>
          <w:b/>
          <w:color w:val="FF0000"/>
          <w:sz w:val="44"/>
          <w:szCs w:val="44"/>
        </w:rPr>
      </w:pPr>
      <w:r>
        <w:rPr>
          <w:rFonts w:hint="eastAsia" w:ascii="微软雅黑" w:hAnsi="微软雅黑" w:eastAsia="微软雅黑"/>
          <w:b/>
          <w:color w:val="FF0000"/>
          <w:sz w:val="44"/>
          <w:szCs w:val="44"/>
        </w:rPr>
        <w:t>定“岗･编･责･级･额･薪･绩”</w:t>
      </w:r>
    </w:p>
    <w:p>
      <w:pPr>
        <w:ind w:firstLine="1601" w:firstLineChars="500"/>
        <w:rPr>
          <w:rFonts w:hint="eastAsia" w:ascii="微软雅黑" w:hAnsi="微软雅黑" w:eastAsia="微软雅黑"/>
          <w:b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0000FF"/>
          <w:sz w:val="32"/>
          <w:szCs w:val="32"/>
          <w:lang w:val="en-US" w:eastAsia="zh-CN"/>
        </w:rPr>
        <w:t>2019年10月24-25日   地点：贵阳市</w:t>
      </w:r>
    </w:p>
    <w:p>
      <w:pPr>
        <w:spacing w:line="460" w:lineRule="exact"/>
        <w:jc w:val="left"/>
        <w:rPr>
          <w:sz w:val="84"/>
          <w:szCs w:val="84"/>
        </w:rPr>
      </w:pPr>
    </w:p>
    <w:p>
      <w:pPr>
        <w:spacing w:line="460" w:lineRule="exact"/>
        <w:jc w:val="left"/>
        <w:rPr>
          <w:rFonts w:ascii="微软雅黑" w:hAnsi="微软雅黑" w:eastAsia="微软雅黑"/>
          <w:sz w:val="22"/>
        </w:rPr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-716915</wp:posOffset>
                </wp:positionH>
                <wp:positionV relativeFrom="paragraph">
                  <wp:posOffset>28575</wp:posOffset>
                </wp:positionV>
                <wp:extent cx="1638300" cy="447675"/>
                <wp:effectExtent l="52705" t="33020" r="61595" b="90805"/>
                <wp:wrapNone/>
                <wp:docPr id="12" name="五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447675"/>
                        </a:xfrm>
                        <a:prstGeom prst="homePlate">
                          <a:avLst/>
                        </a:prstGeom>
                        <a:solidFill>
                          <a:srgbClr val="002060"/>
                        </a:solidFill>
                        <a:ln w="38100" cap="flat" cmpd="sng" algn="ctr">
                          <a:solidFill>
                            <a:srgbClr val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课程背景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-56.45pt;margin-top:2.25pt;height:35.25pt;width:129pt;z-index:251700224;v-text-anchor:middle;mso-width-relative:page;mso-height-relative:page;" fillcolor="#002060" filled="t" stroked="t" coordsize="21600,21600" o:gfxdata="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C0Xlty2AAAAAkBAAAPAAAAAAAAAAEAIAAAACIAAABkcnMvZG93bnJl&#10;di54bWxQSwECFAAUAAAACACHTuJAYSOvk6gCAABQBQAADgAAAAAAAAABACAAAAAnAQAAZHJzL2Uy&#10;b0RvYy54bWxQSwUGAAAAAAYABgBZAQAAQQYAAAAA&#10;" adj="18649">
                <v:fill on="t" focussize="0,0"/>
                <v:stroke weight="3pt" color="#FFFFFF" joinstyle="round"/>
                <v:imagedata o:title=""/>
                <o:lock v:ext="edit" aspectratio="f"/>
                <v:shadow on="t" color="#000000" opacity="24903f" offset="0pt,1.5748031496063pt" origin="0f,32768f" matrix="65536f,0f,0f,65536f"/>
                <v:textbox>
                  <w:txbxContent>
                    <w:p>
                      <w:pPr>
                        <w:spacing w:line="300" w:lineRule="exact"/>
                        <w:jc w:val="center"/>
                        <w:rPr>
                          <w:rFonts w:ascii="微软雅黑" w:hAnsi="微软雅黑" w:eastAsia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课程背景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60" w:lineRule="exact"/>
        <w:jc w:val="left"/>
        <w:rPr>
          <w:rFonts w:ascii="微软雅黑" w:hAnsi="微软雅黑" w:eastAsia="微软雅黑"/>
          <w:sz w:val="22"/>
        </w:rPr>
      </w:pPr>
    </w:p>
    <w:p>
      <w:pPr>
        <w:pStyle w:val="12"/>
        <w:spacing w:before="95" w:line="380" w:lineRule="exact"/>
        <w:ind w:left="-850" w:leftChars="-405" w:right="-380" w:rightChars="-181" w:firstLine="424" w:firstLineChars="202"/>
        <w:rPr>
          <w:rFonts w:hint="eastAsia" w:ascii="微软雅黑" w:hAnsi="微软雅黑" w:eastAsia="微软雅黑" w:cstheme="minorBidi"/>
          <w:color w:val="auto"/>
        </w:rPr>
      </w:pPr>
      <w:r>
        <w:rPr>
          <w:rFonts w:hint="eastAsia" w:ascii="微软雅黑" w:hAnsi="微软雅黑" w:eastAsia="微软雅黑" w:cstheme="minorBidi"/>
          <w:color w:val="auto"/>
        </w:rPr>
        <w:t>随着企业竞争发展环境日渐快速多变，如何充分发挥企业有限的人力，如何吸引、激励、奖励、发展和留住员工等是企业高速发展、转型升级的第一要务！</w:t>
      </w:r>
    </w:p>
    <w:p>
      <w:pPr>
        <w:pStyle w:val="12"/>
        <w:spacing w:before="95" w:line="380" w:lineRule="exact"/>
        <w:ind w:left="-850" w:leftChars="-405" w:right="-380" w:rightChars="-181" w:firstLine="424" w:firstLineChars="202"/>
        <w:rPr>
          <w:rFonts w:hint="eastAsia" w:ascii="微软雅黑" w:hAnsi="微软雅黑" w:eastAsia="微软雅黑" w:cstheme="minorBidi"/>
          <w:color w:val="auto"/>
        </w:rPr>
      </w:pPr>
      <w:r>
        <w:rPr>
          <w:rFonts w:hint="eastAsia" w:ascii="微软雅黑" w:hAnsi="微软雅黑" w:eastAsia="微软雅黑" w:cstheme="minorBidi"/>
          <w:color w:val="auto"/>
        </w:rPr>
        <w:t>如何在企业人力资源政策制定时合理导入“选、育、用、留”机制使之保持自动自发、受控的运转，是各企业人资部门的头等大事和主要工作！</w:t>
      </w:r>
    </w:p>
    <w:p>
      <w:pPr>
        <w:pStyle w:val="12"/>
        <w:spacing w:before="95" w:line="380" w:lineRule="exact"/>
        <w:ind w:left="-850" w:leftChars="-405" w:right="-380" w:rightChars="-181" w:firstLine="424" w:firstLineChars="202"/>
        <w:rPr>
          <w:rFonts w:hint="eastAsia" w:ascii="微软雅黑" w:hAnsi="微软雅黑" w:eastAsia="微软雅黑" w:cstheme="minorBidi"/>
          <w:color w:val="auto"/>
        </w:rPr>
      </w:pPr>
      <w:r>
        <w:rPr>
          <w:rFonts w:hint="eastAsia" w:ascii="微软雅黑" w:hAnsi="微软雅黑" w:eastAsia="微软雅黑" w:cstheme="minorBidi"/>
          <w:color w:val="auto"/>
        </w:rPr>
        <w:t>而人力资源系统为现代企业必备的管理模块之一，其产生的效益益发被企业所重视。同时，人资“七定”‘定岗、定编、定责、定级、定额、定薪、定绩’为人力资源管理最基础、最关键的组成部分和最直接的企业资源优化源头。</w:t>
      </w:r>
    </w:p>
    <w:p>
      <w:pPr>
        <w:pStyle w:val="12"/>
        <w:spacing w:before="95" w:line="380" w:lineRule="exact"/>
        <w:ind w:left="-850" w:leftChars="-405" w:right="-380" w:rightChars="-181" w:firstLine="424" w:firstLineChars="202"/>
        <w:rPr>
          <w:rFonts w:ascii="微软雅黑" w:hAnsi="微软雅黑" w:eastAsia="微软雅黑" w:cs="微软雅黑"/>
          <w:lang w:val="zh-TW"/>
        </w:rPr>
      </w:pPr>
      <w:r>
        <w:rPr>
          <w:rFonts w:hint="eastAsia" w:ascii="微软雅黑" w:hAnsi="微软雅黑" w:eastAsia="微软雅黑" w:cstheme="minorBidi"/>
          <w:color w:val="auto"/>
        </w:rPr>
        <w:t>正所谓：有动作无标准不可复制、有标准无机制不可持续，缺动作、少标准、失机制不成系统。为此，我们应在持续改善企业关键业务流程的同时，从全运营系统层面出发，做好人力资源管理工作，完善人力资源保障和优化机制，才能从战略到执行得到真正的疏通、保证企业可持续发展。</w:t>
      </w:r>
    </w:p>
    <w:p>
      <w:pPr>
        <w:pStyle w:val="12"/>
        <w:spacing w:before="95" w:line="420" w:lineRule="exact"/>
        <w:ind w:right="-483" w:rightChars="-230" w:hanging="567"/>
        <w:rPr>
          <w:rFonts w:ascii="微软雅黑" w:hAnsi="微软雅黑" w:eastAsia="微软雅黑" w:cs="微软雅黑"/>
          <w:lang w:val="zh-TW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-660400</wp:posOffset>
                </wp:positionH>
                <wp:positionV relativeFrom="paragraph">
                  <wp:posOffset>175260</wp:posOffset>
                </wp:positionV>
                <wp:extent cx="1638300" cy="447675"/>
                <wp:effectExtent l="52705" t="33020" r="61595" b="90805"/>
                <wp:wrapNone/>
                <wp:docPr id="9" name="五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447675"/>
                        </a:xfrm>
                        <a:prstGeom prst="homePlate">
                          <a:avLst/>
                        </a:prstGeom>
                        <a:solidFill>
                          <a:srgbClr val="002060"/>
                        </a:solidFill>
                        <a:ln w="38100" cap="flat" cmpd="sng" algn="ctr">
                          <a:solidFill>
                            <a:srgbClr val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rPr>
                                <w:color w:val="FFFFFF" w:themeColor="background1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   课程特色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-52pt;margin-top:13.8pt;height:35.25pt;width:129pt;z-index:251668480;v-text-anchor:middle;mso-width-relative:page;mso-height-relative:page;" fillcolor="#002060" filled="t" stroked="t" coordsize="21600,21600" o:gfxdata="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VBYZ8dkAAAAKAQAADwAAAAAAAAABACAAAAAiAAAAZHJzL2Rvd25y&#10;ZXYueG1sUEsBAhQAFAAAAAgAh07iQGmc7MWoAgAATgUAAA4AAAAAAAAAAQAgAAAAKAEAAGRycy9l&#10;Mm9Eb2MueG1sUEsFBgAAAAAGAAYAWQEAAEIGAAAAAA==&#10;" adj="18649">
                <v:fill on="t" focussize="0,0"/>
                <v:stroke weight="3pt" color="#FFFFFF" joinstyle="round"/>
                <v:imagedata o:title=""/>
                <o:lock v:ext="edit" aspectratio="f"/>
                <v:shadow on="t" color="#000000" opacity="24903f" offset="0pt,1.5748031496063pt" origin="0f,32768f" matrix="65536f,0f,0f,65536f"/>
                <v:textbox>
                  <w:txbxContent>
                    <w:p>
                      <w:pPr>
                        <w:rPr>
                          <w:color w:val="FFFFFF" w:themeColor="background1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   课程特色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15"/>
        <w:numPr>
          <w:ilvl w:val="0"/>
          <w:numId w:val="1"/>
        </w:numPr>
        <w:spacing w:line="400" w:lineRule="exact"/>
        <w:ind w:left="0" w:hanging="426" w:firstLineChars="0"/>
        <w:rPr>
          <w:rFonts w:hint="eastAsia" w:ascii="微软雅黑" w:hAnsi="微软雅黑" w:eastAsia="微软雅黑"/>
          <w:szCs w:val="21"/>
        </w:rPr>
      </w:pPr>
    </w:p>
    <w:p>
      <w:pPr>
        <w:pStyle w:val="15"/>
        <w:spacing w:line="400" w:lineRule="exact"/>
        <w:ind w:firstLine="0" w:firstLineChars="0"/>
        <w:rPr>
          <w:rFonts w:hint="eastAsia" w:ascii="微软雅黑" w:hAnsi="微软雅黑" w:eastAsia="微软雅黑"/>
          <w:szCs w:val="21"/>
        </w:rPr>
      </w:pPr>
    </w:p>
    <w:p>
      <w:pPr>
        <w:spacing w:line="420" w:lineRule="exact"/>
        <w:ind w:left="-567" w:leftChars="-270" w:firstLine="422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讲师在本课程中深入探讨企业在“人力资源管理优化”的现实案例（管理咨询项目），真正让企业学来即用，用之即有效的管理方法，精彩内容期待与您分享！</w:t>
      </w:r>
    </w:p>
    <w:p>
      <w:pPr>
        <w:spacing w:line="420" w:lineRule="exact"/>
        <w:ind w:left="-567" w:leftChars="-270" w:firstLine="422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概念先进、强化意识：全面引进管理概念，强化管理意识和理念；</w:t>
      </w:r>
    </w:p>
    <w:p>
      <w:pPr>
        <w:spacing w:line="420" w:lineRule="exact"/>
        <w:ind w:left="-567" w:leftChars="-270" w:firstLine="422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案例分析、吸取经验：结合讲师自身执行的咨询管理案例，分析并讨论，问答结合；</w:t>
      </w:r>
    </w:p>
    <w:p>
      <w:pPr>
        <w:spacing w:line="420" w:lineRule="exact"/>
        <w:ind w:left="-567" w:leftChars="-270" w:firstLine="422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结合实际、模拟练习：结合培训前的访谈调研，现场讨论分析，为企业现存问题提出改进；</w:t>
      </w:r>
    </w:p>
    <w:p>
      <w:pPr>
        <w:spacing w:line="420" w:lineRule="exact"/>
        <w:ind w:left="-567" w:leftChars="-270" w:firstLine="422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讲练结合、生动深刻：模拟练习分析，游戏分析，互动结合，无领导小组讨论。</w:t>
      </w:r>
    </w:p>
    <w:p>
      <w:pPr>
        <w:pStyle w:val="12"/>
        <w:spacing w:before="95" w:line="360" w:lineRule="exact"/>
        <w:jc w:val="center"/>
        <w:rPr>
          <w:rFonts w:ascii="微软雅黑" w:hAnsi="微软雅黑" w:eastAsia="微软雅黑" w:cs="微软雅黑"/>
          <w:b/>
          <w:bCs/>
          <w:color w:val="auto"/>
          <w:kern w:val="0"/>
          <w:sz w:val="28"/>
          <w:szCs w:val="28"/>
          <w:u w:color="C00000"/>
        </w:rPr>
      </w:pPr>
      <w:r>
        <w:rPr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-697230</wp:posOffset>
                </wp:positionH>
                <wp:positionV relativeFrom="paragraph">
                  <wp:posOffset>99060</wp:posOffset>
                </wp:positionV>
                <wp:extent cx="1638300" cy="447675"/>
                <wp:effectExtent l="52705" t="33020" r="61595" b="90805"/>
                <wp:wrapNone/>
                <wp:docPr id="10" name="五边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447675"/>
                        </a:xfrm>
                        <a:prstGeom prst="homePlate">
                          <a:avLst/>
                        </a:prstGeom>
                        <a:solidFill>
                          <a:srgbClr val="002060"/>
                        </a:solidFill>
                        <a:ln w="38100" cap="flat" cmpd="sng" algn="ctr">
                          <a:solidFill>
                            <a:schemeClr val="bg1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rPr>
                                <w:color w:val="FFFFFF" w:themeColor="background1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    课程大纲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-54.9pt;margin-top:7.8pt;height:35.25pt;width:129pt;z-index:251670528;v-text-anchor:middle;mso-width-relative:page;mso-height-relative:page;" fillcolor="#002060" filled="t" stroked="t" coordsize="21600,21600" o:gfxdata="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MYSroPYAAAACgEAAA8AAAAAAAAAAQAgAAAAIgAAAGRycy9kb3ducmV2&#10;LnhtbFBLAQIUABQAAAAIAIdO4kDOFBv6pwIAAFAFAAAOAAAAAAAAAAEAIAAAACcBAABkcnMvZTJv&#10;RG9jLnhtbFBLBQYAAAAABgAGAFkBAABABgAAAAA=&#10;" adj="18649">
                <v:fill on="t" focussize="0,0"/>
                <v:stroke weight="3pt" color="#FFFFFF [3212]" joinstyle="round"/>
                <v:imagedata o:title=""/>
                <o:lock v:ext="edit" aspectratio="f"/>
                <v:shadow on="t" color="#000000" opacity="24903f" offset="0pt,1.5748031496063pt" origin="0f,32768f" matrix="65536f,0f,0f,65536f"/>
                <v:textbox>
                  <w:txbxContent>
                    <w:p>
                      <w:pPr>
                        <w:rPr>
                          <w:color w:val="FFFFFF" w:themeColor="background1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    课程大纲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12"/>
        <w:spacing w:before="95" w:line="360" w:lineRule="exact"/>
        <w:ind w:left="420"/>
        <w:rPr>
          <w:rFonts w:hint="eastAsia" w:ascii="微软雅黑" w:hAnsi="微软雅黑" w:eastAsia="微软雅黑"/>
          <w:b/>
          <w:color w:val="C0504D" w:themeColor="accent2"/>
          <w14:textFill>
            <w14:solidFill>
              <w14:schemeClr w14:val="accent2"/>
            </w14:solidFill>
          </w14:textFill>
        </w:rPr>
      </w:pPr>
    </w:p>
    <w:p>
      <w:pPr>
        <w:pStyle w:val="12"/>
        <w:spacing w:before="95" w:line="360" w:lineRule="exact"/>
        <w:ind w:left="420"/>
        <w:rPr>
          <w:rFonts w:ascii="微软雅黑" w:hAnsi="微软雅黑" w:eastAsia="微软雅黑" w:cs="微软雅黑"/>
          <w:color w:val="17375E" w:themeColor="text2" w:themeShade="BF"/>
          <w:kern w:val="0"/>
          <w:sz w:val="20"/>
          <w:szCs w:val="20"/>
        </w:rPr>
      </w:pPr>
      <w:r>
        <w:rPr>
          <w:rFonts w:hint="eastAsia" w:ascii="微软雅黑" w:hAnsi="微软雅黑" w:eastAsia="微软雅黑"/>
          <w:b/>
          <w:color w:val="C0504D" w:themeColor="accent2"/>
          <w14:textFill>
            <w14:solidFill>
              <w14:schemeClr w14:val="accent2"/>
            </w14:solidFill>
          </w14:textFill>
        </w:rPr>
        <w:t>破冰：人员分组，设计课程学习目标，了解学员所在企业人力资源中“定岗･定编･定责･定级･定额･定薪･定绩”的“七定”难点、瓶颈，带着问题参与学习</w:t>
      </w:r>
      <w:r>
        <w:rPr>
          <w:rFonts w:hint="eastAsia" w:ascii="微软雅黑" w:hAnsi="微软雅黑" w:eastAsia="微软雅黑"/>
          <w:b/>
          <w:color w:val="4A452A" w:themeColor="background2" w:themeShade="40"/>
          <w:sz w:val="24"/>
          <w:szCs w:val="24"/>
        </w:rPr>
        <w:t>。</w:t>
      </w:r>
    </w:p>
    <w:p>
      <w:pPr>
        <w:pStyle w:val="12"/>
        <w:spacing w:before="95" w:line="360" w:lineRule="exact"/>
        <w:jc w:val="center"/>
        <w:rPr>
          <w:rFonts w:hint="eastAsia" w:ascii="微软雅黑" w:hAnsi="微软雅黑" w:eastAsia="微软雅黑" w:cs="微软雅黑"/>
          <w:b/>
          <w:bCs/>
          <w:color w:val="auto"/>
          <w:kern w:val="0"/>
          <w:sz w:val="28"/>
          <w:szCs w:val="28"/>
          <w:u w:color="C00000"/>
        </w:rPr>
      </w:pP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</w:pPr>
      <w:r>
        <w:rPr>
          <w:rFonts w:hint="eastAsia"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  <w:t xml:space="preserve"> 导论—人力资源与管理基础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一、</w:t>
      </w:r>
      <w:r>
        <w:rPr>
          <w:rFonts w:hint="eastAsia" w:ascii="微软雅黑" w:hAnsi="微软雅黑" w:eastAsia="微软雅黑"/>
          <w:color w:val="1E1C11" w:themeColor="background2" w:themeShade="1A"/>
        </w:rPr>
        <w:tab/>
      </w:r>
      <w:r>
        <w:rPr>
          <w:rFonts w:hint="eastAsia" w:ascii="微软雅黑" w:hAnsi="微软雅黑" w:eastAsia="微软雅黑"/>
          <w:color w:val="1E1C11" w:themeColor="background2" w:themeShade="1A"/>
        </w:rPr>
        <w:t>管理现状怪圈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二、</w:t>
      </w:r>
      <w:r>
        <w:rPr>
          <w:rFonts w:hint="eastAsia" w:ascii="微软雅黑" w:hAnsi="微软雅黑" w:eastAsia="微软雅黑"/>
          <w:color w:val="1E1C11" w:themeColor="background2" w:themeShade="1A"/>
        </w:rPr>
        <w:tab/>
      </w:r>
      <w:r>
        <w:rPr>
          <w:rFonts w:hint="eastAsia" w:ascii="微软雅黑" w:hAnsi="微软雅黑" w:eastAsia="微软雅黑"/>
          <w:color w:val="1E1C11" w:themeColor="background2" w:themeShade="1A"/>
        </w:rPr>
        <w:t>优秀企业的表现（外在表现，内在透析，怎么做到的？）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三、</w:t>
      </w:r>
      <w:r>
        <w:rPr>
          <w:rFonts w:hint="eastAsia" w:ascii="微软雅黑" w:hAnsi="微软雅黑" w:eastAsia="微软雅黑"/>
          <w:color w:val="1E1C11" w:themeColor="background2" w:themeShade="1A"/>
        </w:rPr>
        <w:tab/>
      </w:r>
      <w:r>
        <w:rPr>
          <w:rFonts w:hint="eastAsia" w:ascii="微软雅黑" w:hAnsi="微软雅黑" w:eastAsia="微软雅黑"/>
          <w:color w:val="1E1C11" w:themeColor="background2" w:themeShade="1A"/>
        </w:rPr>
        <w:t>企业效益的三大来源及企业的三大流（信息流、物资流、工艺流）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四、</w:t>
      </w:r>
      <w:r>
        <w:rPr>
          <w:rFonts w:hint="eastAsia" w:ascii="微软雅黑" w:hAnsi="微软雅黑" w:eastAsia="微软雅黑"/>
          <w:color w:val="1E1C11" w:themeColor="background2" w:themeShade="1A"/>
        </w:rPr>
        <w:tab/>
      </w:r>
      <w:r>
        <w:rPr>
          <w:rFonts w:hint="eastAsia" w:ascii="微软雅黑" w:hAnsi="微软雅黑" w:eastAsia="微软雅黑"/>
          <w:color w:val="1E1C11" w:themeColor="background2" w:themeShade="1A"/>
        </w:rPr>
        <w:t>企业构成的4大基本要素诠释及关系（人、财、物、信息）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五、</w:t>
      </w:r>
      <w:r>
        <w:rPr>
          <w:rFonts w:hint="eastAsia" w:ascii="微软雅黑" w:hAnsi="微软雅黑" w:eastAsia="微软雅黑"/>
          <w:color w:val="1E1C11" w:themeColor="background2" w:themeShade="1A"/>
        </w:rPr>
        <w:tab/>
      </w:r>
      <w:r>
        <w:rPr>
          <w:rFonts w:hint="eastAsia" w:ascii="微软雅黑" w:hAnsi="微软雅黑" w:eastAsia="微软雅黑"/>
          <w:color w:val="1E1C11" w:themeColor="background2" w:themeShade="1A"/>
        </w:rPr>
        <w:t>控制力、执行力、凝聚力形成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六、</w:t>
      </w:r>
      <w:r>
        <w:rPr>
          <w:rFonts w:hint="eastAsia" w:ascii="微软雅黑" w:hAnsi="微软雅黑" w:eastAsia="微软雅黑"/>
          <w:color w:val="1E1C11" w:themeColor="background2" w:themeShade="1A"/>
        </w:rPr>
        <w:tab/>
      </w:r>
      <w:r>
        <w:rPr>
          <w:rFonts w:hint="eastAsia" w:ascii="微软雅黑" w:hAnsi="微软雅黑" w:eastAsia="微软雅黑"/>
          <w:color w:val="1E1C11" w:themeColor="background2" w:themeShade="1A"/>
        </w:rPr>
        <w:t>企业文化的组成部分）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hint="eastAsia"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</w:pPr>
      <w:r>
        <w:rPr>
          <w:rFonts w:hint="eastAsia"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  <w:t xml:space="preserve"> 人力资源与企业管理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一、理解人力资源管理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二、人力资源管理的历史发展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 xml:space="preserve">三、经验管理(雇佣劳动管理)  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 xml:space="preserve">四、科学管理(劳动人事管理，强调以“物”为中心管理理念) 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 xml:space="preserve">五、行为及现代管理(人力资源管理，强调以“人”为中心管理理念) 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六、人力资源管理在企业管理中的作用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七、企业人力资源规划（关键业绩如何形成，人力资源架构平台）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八、人力资源管理三支柱与各模块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</w:pPr>
      <w:r>
        <w:rPr>
          <w:rFonts w:hint="eastAsia"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  <w:t xml:space="preserve"> 定岗—组织架构与岗位设置</w:t>
      </w:r>
    </w:p>
    <w:p>
      <w:pPr>
        <w:pStyle w:val="12"/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一、组织架构的设置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1.组织架构的设置原则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2.组织结构设置的程序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3.组织架构类型及适用范围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1)直线制组织架构的特点及适用企业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2)直线职能制组织架构特点及适用企业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3)矩阵制组织架构特点及适用企业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4)事业部制组织架构特点及适用企业</w:t>
      </w:r>
    </w:p>
    <w:p>
      <w:pPr>
        <w:pStyle w:val="12"/>
        <w:spacing w:before="95" w:line="280" w:lineRule="exact"/>
        <w:ind w:left="1259"/>
        <w:rPr>
          <w:rFonts w:ascii="宋体" w:hAnsi="宋体" w:eastAsiaTheme="minorEastAsia" w:cstheme="minorBidi"/>
          <w:b/>
          <w:color w:val="002060"/>
        </w:rPr>
      </w:pPr>
      <w:r>
        <w:rPr>
          <w:rFonts w:hint="eastAsia" w:ascii="宋体" w:hAnsi="宋体" w:eastAsiaTheme="minorEastAsia" w:cstheme="minorBidi"/>
          <w:b/>
          <w:color w:val="002060"/>
        </w:rPr>
        <w:t>讨论：运用所学知识，优化并绘制本企业的组织机构</w:t>
      </w:r>
    </w:p>
    <w:p>
      <w:pPr>
        <w:pStyle w:val="12"/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二、组织设计和岗位设计的关系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1、岗位设计的主要步骤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2、组织分析法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3、组织设计需考虑的主要问题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4、三种不同的管理模式对比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5、流程优化法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6、标杆对照法</w:t>
      </w:r>
    </w:p>
    <w:p>
      <w:pPr>
        <w:pStyle w:val="12"/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三、工作岗位的设置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1.</w:t>
      </w:r>
      <w:r>
        <w:rPr>
          <w:rFonts w:hint="eastAsia" w:ascii="微软雅黑" w:hAnsi="微软雅黑" w:eastAsia="微软雅黑"/>
          <w:color w:val="1E1C11" w:themeColor="background2" w:themeShade="1A"/>
        </w:rPr>
        <w:t>岗位的设置原则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1)</w:t>
      </w:r>
      <w:r>
        <w:rPr>
          <w:rFonts w:hint="eastAsia" w:ascii="微软雅黑" w:hAnsi="微软雅黑" w:eastAsia="微软雅黑"/>
          <w:color w:val="1E1C11" w:themeColor="background2" w:themeShade="1A"/>
        </w:rPr>
        <w:t>岗位工作的独立性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2)</w:t>
      </w:r>
      <w:r>
        <w:rPr>
          <w:rFonts w:hint="eastAsia" w:ascii="微软雅黑" w:hAnsi="微软雅黑" w:eastAsia="微软雅黑"/>
          <w:color w:val="1E1C11" w:themeColor="background2" w:themeShade="1A"/>
        </w:rPr>
        <w:t>岗位最低数量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2.</w:t>
      </w:r>
      <w:r>
        <w:rPr>
          <w:rFonts w:hint="eastAsia" w:ascii="微软雅黑" w:hAnsi="微软雅黑" w:eastAsia="微软雅黑"/>
          <w:color w:val="1E1C11" w:themeColor="background2" w:themeShade="1A"/>
        </w:rPr>
        <w:t>岗位设置的方法</w:t>
      </w:r>
    </w:p>
    <w:p>
      <w:pPr>
        <w:pStyle w:val="12"/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四、岗位设置表的编制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1、案例：</w:t>
      </w:r>
      <w:r>
        <w:rPr>
          <w:rFonts w:ascii="微软雅黑" w:hAnsi="微软雅黑" w:eastAsia="微软雅黑"/>
          <w:color w:val="1E1C11" w:themeColor="background2" w:themeShade="1A"/>
        </w:rPr>
        <w:t>xxx</w:t>
      </w:r>
      <w:r>
        <w:rPr>
          <w:rFonts w:hint="eastAsia" w:ascii="微软雅黑" w:hAnsi="微软雅黑" w:eastAsia="微软雅黑"/>
          <w:color w:val="1E1C11" w:themeColor="background2" w:themeShade="1A"/>
        </w:rPr>
        <w:t>公司的岗位设置表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2、部门岗位设置表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3、公司岗位设置汇总表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 xml:space="preserve">4、岗位分类汇总表(高层) 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 xml:space="preserve">5、公司岗位分类汇总表(全部汇总) </w:t>
      </w:r>
    </w:p>
    <w:p>
      <w:pPr>
        <w:pStyle w:val="12"/>
        <w:spacing w:before="95" w:line="280" w:lineRule="exact"/>
        <w:ind w:left="1259"/>
        <w:rPr>
          <w:rFonts w:ascii="宋体" w:hAnsi="宋体" w:eastAsiaTheme="minorEastAsia" w:cstheme="minorBidi"/>
          <w:b/>
          <w:color w:val="002060"/>
        </w:rPr>
      </w:pPr>
      <w:r>
        <w:rPr>
          <w:rFonts w:hint="eastAsia" w:ascii="宋体" w:hAnsi="宋体" w:eastAsiaTheme="minorEastAsia" w:cstheme="minorBidi"/>
          <w:b/>
          <w:color w:val="002060"/>
        </w:rPr>
        <w:t xml:space="preserve">学习结果输出：结合本公司情况编制岗位设置表. 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hint="eastAsia"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</w:pPr>
      <w:r>
        <w:rPr>
          <w:rFonts w:hint="eastAsia"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  <w:t xml:space="preserve"> </w:t>
      </w:r>
      <w:r>
        <w:rPr>
          <w:rFonts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  <w:t>定编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</w:t>
      </w:r>
      <w:r>
        <w:rPr>
          <w:rFonts w:ascii="微软雅黑" w:hAnsi="微软雅黑" w:eastAsia="微软雅黑"/>
          <w:color w:val="1E1C11" w:themeColor="background2" w:themeShade="1A"/>
        </w:rPr>
        <w:t>什么是定编？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</w:t>
      </w:r>
      <w:r>
        <w:rPr>
          <w:rFonts w:ascii="微软雅黑" w:hAnsi="微软雅黑" w:eastAsia="微软雅黑"/>
          <w:color w:val="1E1C11" w:themeColor="background2" w:themeShade="1A"/>
        </w:rPr>
        <w:t>定编的原则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</w:t>
      </w:r>
      <w:r>
        <w:rPr>
          <w:rFonts w:ascii="微软雅黑" w:hAnsi="微软雅黑" w:eastAsia="微软雅黑"/>
          <w:color w:val="1E1C11" w:themeColor="background2" w:themeShade="1A"/>
        </w:rPr>
        <w:t xml:space="preserve">定编的方法－劳动效率定编法  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</w:t>
      </w:r>
      <w:r>
        <w:rPr>
          <w:rFonts w:ascii="微软雅黑" w:hAnsi="微软雅黑" w:eastAsia="微软雅黑"/>
          <w:color w:val="1E1C11" w:themeColor="background2" w:themeShade="1A"/>
        </w:rPr>
        <w:t>业务数据分析法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5、</w:t>
      </w:r>
      <w:r>
        <w:rPr>
          <w:rFonts w:ascii="微软雅黑" w:hAnsi="微软雅黑" w:eastAsia="微软雅黑"/>
          <w:color w:val="1E1C11" w:themeColor="background2" w:themeShade="1A"/>
        </w:rPr>
        <w:t>本行业比例法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6、</w:t>
      </w:r>
      <w:r>
        <w:rPr>
          <w:rFonts w:ascii="微软雅黑" w:hAnsi="微软雅黑" w:eastAsia="微软雅黑"/>
          <w:color w:val="1E1C11" w:themeColor="background2" w:themeShade="1A"/>
        </w:rPr>
        <w:t>预算控制法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7、</w:t>
      </w:r>
      <w:r>
        <w:rPr>
          <w:rFonts w:ascii="微软雅黑" w:hAnsi="微软雅黑" w:eastAsia="微软雅黑"/>
          <w:color w:val="1E1C11" w:themeColor="background2" w:themeShade="1A"/>
        </w:rPr>
        <w:t>业务流程分析法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8、案例演示与讨论：定编</w:t>
      </w:r>
      <w:r>
        <w:rPr>
          <w:rFonts w:ascii="微软雅黑" w:hAnsi="微软雅黑" w:eastAsia="微软雅黑"/>
          <w:color w:val="1E1C11" w:themeColor="background2" w:themeShade="1A"/>
        </w:rPr>
        <w:t>操作示例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9、定编流程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10、员工人数设计涉及的主要方面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11、员工总数设计的基本原则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12、选择人均经营利润作为价值指标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hint="eastAsia"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13、某集团贸易类人员数量设计方案比较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</w:pPr>
      <w:r>
        <w:rPr>
          <w:rFonts w:hint="eastAsia"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  <w:t xml:space="preserve"> 定责（定职）———岗位分析及撰写岗位说明书</w:t>
      </w:r>
    </w:p>
    <w:p>
      <w:pPr>
        <w:pStyle w:val="12"/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一、岗位分析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1、什么是岗位分析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2、岗位分析在人力资源管理中的作用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3、岗位分析的信息内容</w:t>
      </w:r>
    </w:p>
    <w:p>
      <w:pPr>
        <w:pStyle w:val="12"/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二、岗位分析的方法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1、调查问卷法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2、访谈法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3、观察法</w:t>
      </w:r>
    </w:p>
    <w:p>
      <w:pPr>
        <w:pStyle w:val="12"/>
        <w:spacing w:before="95" w:line="280" w:lineRule="exact"/>
        <w:ind w:left="1259"/>
        <w:rPr>
          <w:rFonts w:ascii="宋体" w:hAnsi="宋体" w:eastAsiaTheme="minorEastAsia" w:cstheme="minorBidi"/>
          <w:b/>
          <w:color w:val="002060"/>
        </w:rPr>
      </w:pPr>
      <w:r>
        <w:rPr>
          <w:rFonts w:hint="eastAsia" w:ascii="宋体" w:hAnsi="宋体" w:eastAsiaTheme="minorEastAsia" w:cstheme="minorBidi"/>
          <w:b/>
          <w:color w:val="002060"/>
        </w:rPr>
        <w:t>案例分析: 某技术岗位的岗位分析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4、工作日志法</w:t>
      </w:r>
    </w:p>
    <w:p>
      <w:pPr>
        <w:pStyle w:val="12"/>
        <w:spacing w:before="95" w:line="280" w:lineRule="exact"/>
        <w:ind w:left="1259"/>
        <w:rPr>
          <w:rFonts w:ascii="宋体" w:hAnsi="宋体" w:eastAsiaTheme="minorEastAsia" w:cstheme="minorBidi"/>
          <w:b/>
          <w:color w:val="002060"/>
        </w:rPr>
      </w:pPr>
      <w:r>
        <w:rPr>
          <w:rFonts w:hint="eastAsia" w:ascii="宋体" w:hAnsi="宋体" w:eastAsiaTheme="minorEastAsia" w:cstheme="minorBidi"/>
          <w:b/>
          <w:color w:val="002060"/>
        </w:rPr>
        <w:t>案例分析:某员工工作日志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5、以职责为导向的岗位分析</w:t>
      </w:r>
    </w:p>
    <w:p>
      <w:pPr>
        <w:pStyle w:val="12"/>
        <w:spacing w:before="95" w:line="280" w:lineRule="exact"/>
        <w:ind w:left="1259"/>
        <w:rPr>
          <w:rFonts w:ascii="宋体" w:hAnsi="宋体" w:eastAsiaTheme="minorEastAsia" w:cstheme="minorBidi"/>
          <w:b/>
          <w:color w:val="002060"/>
        </w:rPr>
      </w:pPr>
      <w:r>
        <w:rPr>
          <w:rFonts w:hint="eastAsia" w:ascii="宋体" w:hAnsi="宋体" w:eastAsiaTheme="minorEastAsia" w:cstheme="minorBidi"/>
          <w:b/>
          <w:color w:val="002060"/>
        </w:rPr>
        <w:t>实操：人力专员岗位的职责分析</w:t>
      </w:r>
    </w:p>
    <w:p>
      <w:pPr>
        <w:pStyle w:val="12"/>
        <w:numPr>
          <w:ilvl w:val="0"/>
          <w:numId w:val="4"/>
        </w:numPr>
        <w:spacing w:before="95" w:line="280" w:lineRule="exact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编写岗位说明书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1、编写要求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 xml:space="preserve">2、编写样式岗位说明书(样式) 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3、岗位说明书整理归档</w:t>
      </w:r>
    </w:p>
    <w:p>
      <w:pPr>
        <w:pStyle w:val="12"/>
        <w:spacing w:before="95" w:line="280" w:lineRule="exact"/>
        <w:ind w:left="1259"/>
        <w:rPr>
          <w:rFonts w:ascii="宋体" w:hAnsi="宋体" w:eastAsiaTheme="minorEastAsia" w:cstheme="minorBidi"/>
          <w:b/>
          <w:color w:val="002060"/>
        </w:rPr>
      </w:pPr>
      <w:r>
        <w:rPr>
          <w:rFonts w:hint="eastAsia" w:ascii="宋体" w:hAnsi="宋体" w:eastAsiaTheme="minorEastAsia" w:cstheme="minorBidi"/>
          <w:b/>
          <w:color w:val="002060"/>
        </w:rPr>
        <w:t>( 案例分析：xx公司人力行政部经理的岗位说明书</w:t>
      </w:r>
    </w:p>
    <w:p>
      <w:pPr>
        <w:pStyle w:val="12"/>
        <w:spacing w:before="95" w:line="280" w:lineRule="exact"/>
        <w:ind w:left="1259"/>
        <w:rPr>
          <w:rFonts w:ascii="宋体" w:hAnsi="宋体" w:eastAsiaTheme="minorEastAsia" w:cstheme="minorBidi"/>
          <w:b/>
          <w:color w:val="002060"/>
        </w:rPr>
      </w:pPr>
      <w:r>
        <w:rPr>
          <w:rFonts w:hint="eastAsia" w:ascii="宋体" w:hAnsi="宋体" w:eastAsiaTheme="minorEastAsia" w:cstheme="minorBidi"/>
          <w:b/>
          <w:color w:val="002060"/>
        </w:rPr>
        <w:t>( 分组讨论：结合公司实际，选择某一岗位采用调研及访谈法进行岗位分析，并撰写该岗位的岗位说明书)</w:t>
      </w:r>
    </w:p>
    <w:p>
      <w:pPr>
        <w:spacing w:line="360" w:lineRule="auto"/>
        <w:rPr>
          <w:rFonts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</w:pPr>
      <w:r>
        <w:rPr>
          <w:rFonts w:hint="eastAsia"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  <w:t>第六章 定额与定级</w:t>
      </w:r>
    </w:p>
    <w:p>
      <w:pPr>
        <w:pStyle w:val="12"/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一、劳动定额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1.</w:t>
      </w:r>
      <w:r>
        <w:rPr>
          <w:rFonts w:hint="eastAsia" w:ascii="微软雅黑" w:hAnsi="微软雅黑" w:eastAsia="微软雅黑"/>
          <w:color w:val="1E1C11" w:themeColor="background2" w:themeShade="1A"/>
        </w:rPr>
        <w:t>劳动定额的形式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2.</w:t>
      </w:r>
      <w:r>
        <w:rPr>
          <w:rFonts w:hint="eastAsia" w:ascii="微软雅黑" w:hAnsi="微软雅黑" w:eastAsia="微软雅黑"/>
          <w:color w:val="1E1C11" w:themeColor="background2" w:themeShade="1A"/>
        </w:rPr>
        <w:t>劳动定额的制定要求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3.</w:t>
      </w:r>
      <w:r>
        <w:rPr>
          <w:rFonts w:hint="eastAsia" w:ascii="微软雅黑" w:hAnsi="微软雅黑" w:eastAsia="微软雅黑"/>
          <w:color w:val="1E1C11" w:themeColor="background2" w:themeShade="1A"/>
        </w:rPr>
        <w:t>制定劳动定额的原则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4.</w:t>
      </w:r>
      <w:r>
        <w:rPr>
          <w:rFonts w:hint="eastAsia" w:ascii="微软雅黑" w:hAnsi="微软雅黑" w:eastAsia="微软雅黑"/>
          <w:color w:val="1E1C11" w:themeColor="background2" w:themeShade="1A"/>
        </w:rPr>
        <w:t>制定劳动定额的方法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1)</w:t>
      </w:r>
      <w:r>
        <w:rPr>
          <w:rFonts w:hint="eastAsia" w:ascii="微软雅黑" w:hAnsi="微软雅黑" w:eastAsia="微软雅黑"/>
          <w:color w:val="1E1C11" w:themeColor="background2" w:themeShade="1A"/>
        </w:rPr>
        <w:t>经验估工法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2)</w:t>
      </w:r>
      <w:r>
        <w:rPr>
          <w:rFonts w:hint="eastAsia" w:ascii="微软雅黑" w:hAnsi="微软雅黑" w:eastAsia="微软雅黑"/>
          <w:color w:val="1E1C11" w:themeColor="background2" w:themeShade="1A"/>
        </w:rPr>
        <w:t>类推比较法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3)</w:t>
      </w:r>
      <w:r>
        <w:rPr>
          <w:rFonts w:hint="eastAsia" w:ascii="微软雅黑" w:hAnsi="微软雅黑" w:eastAsia="微软雅黑"/>
          <w:color w:val="1E1C11" w:themeColor="background2" w:themeShade="1A"/>
        </w:rPr>
        <w:t>统计分析法</w:t>
      </w:r>
    </w:p>
    <w:p>
      <w:pPr>
        <w:rPr>
          <w:rFonts w:ascii="宋体"/>
          <w:b/>
          <w:color w:val="002060"/>
          <w:szCs w:val="21"/>
        </w:rPr>
      </w:pPr>
      <w:r>
        <w:rPr>
          <w:rFonts w:hint="eastAsia" w:ascii="宋体" w:hAnsi="宋体"/>
          <w:b/>
          <w:color w:val="002060"/>
          <w:szCs w:val="21"/>
        </w:rPr>
        <w:t>沙盘模拟：某集团公司某岗位的定额设计</w:t>
      </w:r>
    </w:p>
    <w:p>
      <w:pPr>
        <w:spacing w:line="360" w:lineRule="auto"/>
        <w:ind w:left="567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二、定级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1、岗位定级的方法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1)</w:t>
      </w:r>
      <w:r>
        <w:rPr>
          <w:rFonts w:hint="eastAsia" w:ascii="微软雅黑" w:hAnsi="微软雅黑" w:eastAsia="微软雅黑"/>
          <w:color w:val="1E1C11" w:themeColor="background2" w:themeShade="1A"/>
        </w:rPr>
        <w:t>按设计岗位定级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2)</w:t>
      </w:r>
      <w:r>
        <w:rPr>
          <w:rFonts w:hint="eastAsia" w:ascii="微软雅黑" w:hAnsi="微软雅黑" w:eastAsia="微软雅黑"/>
          <w:color w:val="1E1C11" w:themeColor="background2" w:themeShade="1A"/>
        </w:rPr>
        <w:t>按岗位负荷量定级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ascii="微软雅黑" w:hAnsi="微软雅黑" w:eastAsia="微软雅黑"/>
          <w:color w:val="1E1C11" w:themeColor="background2" w:themeShade="1A"/>
        </w:rPr>
        <w:t>3)</w:t>
      </w:r>
      <w:r>
        <w:rPr>
          <w:rFonts w:hint="eastAsia" w:ascii="微软雅黑" w:hAnsi="微软雅黑" w:eastAsia="微软雅黑"/>
          <w:color w:val="1E1C11" w:themeColor="background2" w:themeShade="1A"/>
        </w:rPr>
        <w:t>按组织机构</w:t>
      </w:r>
      <w:r>
        <w:rPr>
          <w:rFonts w:ascii="微软雅黑" w:hAnsi="微软雅黑" w:eastAsia="微软雅黑"/>
          <w:color w:val="1E1C11" w:themeColor="background2" w:themeShade="1A"/>
        </w:rPr>
        <w:t>.</w:t>
      </w:r>
      <w:r>
        <w:rPr>
          <w:rFonts w:hint="eastAsia" w:ascii="微软雅黑" w:hAnsi="微软雅黑" w:eastAsia="微软雅黑"/>
          <w:color w:val="1E1C11" w:themeColor="background2" w:themeShade="1A"/>
        </w:rPr>
        <w:t>职责范围和业务分工定级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宋体" w:hAnsi="宋体"/>
          <w:szCs w:val="21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2、基于内部均衡性的岗位测评</w:t>
      </w:r>
    </w:p>
    <w:p>
      <w:pPr>
        <w:spacing w:line="360" w:lineRule="auto"/>
        <w:rPr>
          <w:rFonts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</w:pPr>
      <w:r>
        <w:rPr>
          <w:rFonts w:hint="eastAsia" w:ascii="微软雅黑" w:hAnsi="微软雅黑" w:eastAsia="微软雅黑" w:cs="Times New Roman"/>
          <w:b/>
          <w:color w:val="4A452A" w:themeColor="background2" w:themeShade="40"/>
          <w:sz w:val="24"/>
          <w:szCs w:val="24"/>
          <w:u w:color="000000"/>
        </w:rPr>
        <w:t>第七章 定薪与定绩</w:t>
      </w:r>
    </w:p>
    <w:p>
      <w:pPr>
        <w:pStyle w:val="12"/>
        <w:numPr>
          <w:ilvl w:val="0"/>
          <w:numId w:val="5"/>
        </w:numPr>
        <w:spacing w:before="95" w:line="280" w:lineRule="exact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企业薪酬体系设计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1、各级工资额度标准的设计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2、设定薪酬等级体系的八个实用的步骤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3、一个企业搞多少级工资好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4、级差的计算公式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5、级别最小值、中点值、最大值的设计办法。分档的办法。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6、级幅度的公式和规律，根据个体业绩差异来设计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7、两级工资的重叠度的公式，如何设定，及其影响</w:t>
      </w:r>
    </w:p>
    <w:p>
      <w:pPr>
        <w:rPr>
          <w:rFonts w:ascii="宋体" w:hAnsi="宋体"/>
          <w:b/>
          <w:color w:val="002060"/>
          <w:szCs w:val="21"/>
        </w:rPr>
      </w:pPr>
      <w:r>
        <w:rPr>
          <w:rFonts w:hint="eastAsia" w:ascii="宋体" w:hAnsi="宋体"/>
          <w:b/>
          <w:color w:val="002060"/>
          <w:szCs w:val="21"/>
        </w:rPr>
        <w:t>现场模拟：借</w:t>
      </w:r>
      <w:r>
        <w:rPr>
          <w:rFonts w:hint="eastAsia" w:ascii="宋体" w:hAnsi="宋体"/>
          <w:b/>
          <w:color w:val="002060"/>
          <w:szCs w:val="21"/>
          <w:lang w:eastAsia="zh-CN"/>
        </w:rPr>
        <w:t>助</w:t>
      </w:r>
      <w:r>
        <w:rPr>
          <w:rFonts w:hint="eastAsia" w:ascii="宋体" w:hAnsi="宋体"/>
          <w:b/>
          <w:color w:val="002060"/>
          <w:szCs w:val="21"/>
        </w:rPr>
        <w:t>市场工资数据来设计或比较（校验、调整）现有工资曲线（各级中点连线）的方法。画出企业薪资曲线与市场各分位曲线</w:t>
      </w:r>
    </w:p>
    <w:p>
      <w:pPr>
        <w:pStyle w:val="12"/>
        <w:spacing w:before="95" w:line="280" w:lineRule="exact"/>
        <w:ind w:firstLine="525" w:firstLineChars="250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二、市场薪资调查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1、如何做市场薪资调查，怎么读市场报告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2、影响和决定一个岗位市场薪资价格高低的四个因素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3、市场分位值是什么概念，如何使用到自己的体系中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4、如何撰写企业薪酬制度</w:t>
      </w:r>
    </w:p>
    <w:p>
      <w:pPr>
        <w:pStyle w:val="12"/>
        <w:spacing w:before="95" w:line="280" w:lineRule="exact"/>
        <w:ind w:firstLine="630" w:firstLineChars="300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三、个人（能力）薪酬核定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1、如何相对量化地为岗位上的不同个人，设定其薪资档位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2、岗位的胜任力模型设计</w:t>
      </w:r>
    </w:p>
    <w:p>
      <w:pPr>
        <w:pStyle w:val="12"/>
        <w:numPr>
          <w:ilvl w:val="0"/>
          <w:numId w:val="6"/>
        </w:numPr>
        <w:spacing w:before="95" w:line="280" w:lineRule="exact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 xml:space="preserve"> 定薪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1、如何用所设计的薪资曲线结构为新来的人定薪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2、招聘时“薪资谈判”（侃价）的三招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3、调岗、晋升人员调薪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4、解决薪酬水平低于标准的人员（绿圈）的科学合理方法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5、解决薪酬水平超标的人员（红圈）的十种方法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6、提前支付等措施</w:t>
      </w:r>
    </w:p>
    <w:p>
      <w:pPr>
        <w:pStyle w:val="12"/>
        <w:numPr>
          <w:ilvl w:val="0"/>
          <w:numId w:val="6"/>
        </w:numPr>
        <w:spacing w:before="95" w:line="280" w:lineRule="exact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绩效工资与年终奖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1、绩效工资比例的设定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2、基于考核结果，计算绩效工资的办法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3、从薪酬体系上避免部门经理为了争取绩效工资而拼命给下属打高分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4、年终奖如何既与企业业绩挂钩，又与个人表现挂钩，实例讲解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5、年终奖设定的几种有效的公式（从总体分给个人）</w:t>
      </w:r>
    </w:p>
    <w:p>
      <w:pPr>
        <w:pStyle w:val="12"/>
        <w:spacing w:before="95" w:line="280" w:lineRule="exact"/>
        <w:ind w:firstLine="735" w:firstLineChars="350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六、调薪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1、晋升调薪、业绩调薪、结构化调薪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2、年度调薪兼顾业绩和现有个人收入水平的办法，以CR体现现有薪资水平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3、实例演练：用调薪矩阵给全员设定调薪（按预算）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4、调薪如何控制成本</w:t>
      </w:r>
    </w:p>
    <w:p>
      <w:pPr>
        <w:pStyle w:val="12"/>
        <w:spacing w:before="95" w:line="280" w:lineRule="exact"/>
        <w:ind w:left="83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七、宽带薪酬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1、技能工资（skill-based）的设计和优点缺点是什么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2、宽幅薪资结构和传统岗位薪资结构的质的区别和使用方法</w:t>
      </w:r>
    </w:p>
    <w:p>
      <w:pPr>
        <w:pStyle w:val="12"/>
        <w:spacing w:before="95" w:line="280" w:lineRule="exact"/>
        <w:ind w:left="1259"/>
        <w:rPr>
          <w:rFonts w:ascii="宋体" w:hAnsi="宋体" w:eastAsiaTheme="minorEastAsia" w:cstheme="minorBidi"/>
          <w:b/>
          <w:color w:val="002060"/>
        </w:rPr>
      </w:pPr>
      <w:r>
        <w:rPr>
          <w:rFonts w:hint="eastAsia" w:ascii="宋体" w:hAnsi="宋体" w:eastAsiaTheme="minorEastAsia" w:cstheme="minorBidi"/>
          <w:b/>
          <w:color w:val="002060"/>
        </w:rPr>
        <w:t>案例：宽带薪酬设计实例</w:t>
      </w:r>
    </w:p>
    <w:p>
      <w:pPr>
        <w:pStyle w:val="12"/>
        <w:spacing w:before="95" w:line="280" w:lineRule="exact"/>
        <w:ind w:firstLine="840" w:firstLineChars="400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八、年薪制与高管人员激励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1、高管人员的年薪制结构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2、高管人员的年终大额奖金的设计与考核发放（实例）</w:t>
      </w:r>
    </w:p>
    <w:p>
      <w:pPr>
        <w:pStyle w:val="12"/>
        <w:numPr>
          <w:ilvl w:val="0"/>
          <w:numId w:val="7"/>
        </w:numPr>
        <w:spacing w:before="95" w:line="280" w:lineRule="exact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股权激励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1、股东股权奖励方案（大股东转让）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2、限制性股票方案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3、实股激励方案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4、期权激励方案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5、分红型虚拟股权方案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6、在股权股票分配时的定人定量</w:t>
      </w:r>
    </w:p>
    <w:p>
      <w:pPr>
        <w:pStyle w:val="12"/>
        <w:spacing w:before="95" w:line="280" w:lineRule="exact"/>
        <w:ind w:left="83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十、薪酬管理与沟通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1、部门经理应有的薪资管理权限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2、如何做好薪酬保密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3、资条等加强薪资沟通的手段如何优化、</w:t>
      </w:r>
    </w:p>
    <w:p>
      <w:pPr>
        <w:pStyle w:val="12"/>
        <w:numPr>
          <w:ilvl w:val="0"/>
          <w:numId w:val="3"/>
        </w:numPr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  <w:r>
        <w:rPr>
          <w:rFonts w:hint="eastAsia" w:ascii="微软雅黑" w:hAnsi="微软雅黑" w:eastAsia="微软雅黑"/>
          <w:color w:val="1E1C11" w:themeColor="background2" w:themeShade="1A"/>
        </w:rPr>
        <w:t>4、绩效面谈的机制</w:t>
      </w:r>
    </w:p>
    <w:p>
      <w:pPr>
        <w:pStyle w:val="12"/>
        <w:spacing w:before="95" w:line="280" w:lineRule="exact"/>
        <w:ind w:left="1259"/>
        <w:rPr>
          <w:rFonts w:ascii="微软雅黑" w:hAnsi="微软雅黑" w:eastAsia="微软雅黑"/>
          <w:color w:val="1E1C11" w:themeColor="background2" w:themeShade="1A"/>
        </w:rPr>
      </w:pPr>
    </w:p>
    <w:p>
      <w:pPr>
        <w:pStyle w:val="6"/>
        <w:spacing w:before="0" w:beforeAutospacing="0" w:after="0" w:afterAutospacing="0" w:line="460" w:lineRule="exact"/>
        <w:jc w:val="center"/>
        <w:rPr>
          <w:rFonts w:ascii="华文行楷" w:hAnsi="华文楷体" w:eastAsia="华文行楷"/>
          <w:color w:val="4A452A" w:themeColor="background2" w:themeShade="40"/>
          <w:sz w:val="36"/>
          <w:szCs w:val="36"/>
        </w:rPr>
      </w:pPr>
      <w:r>
        <w:rPr>
          <w:rFonts w:hint="default" w:ascii="微软雅黑" w:hAnsi="微软雅黑" w:eastAsia="微软雅黑"/>
          <w:b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-752475</wp:posOffset>
                </wp:positionH>
                <wp:positionV relativeFrom="paragraph">
                  <wp:posOffset>8890</wp:posOffset>
                </wp:positionV>
                <wp:extent cx="1638300" cy="447675"/>
                <wp:effectExtent l="52705" t="33020" r="61595" b="90805"/>
                <wp:wrapNone/>
                <wp:docPr id="11" name="五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447675"/>
                        </a:xfrm>
                        <a:prstGeom prst="homePlate">
                          <a:avLst/>
                        </a:prstGeom>
                        <a:solidFill>
                          <a:srgbClr val="002060"/>
                        </a:solidFill>
                        <a:ln w="38100" cap="flat" cmpd="sng" algn="ctr">
                          <a:solidFill>
                            <a:srgbClr val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讲师介绍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-59.25pt;margin-top:0.7pt;height:35.25pt;width:129pt;z-index:251672576;v-text-anchor:middle;mso-width-relative:page;mso-height-relative:page;" fillcolor="#002060" filled="t" stroked="t" coordsize="21600,21600" o:gfxdata="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QhYrTdcAAAAJAQAADwAAAAAAAAABACAAAAAiAAAAZHJzL2Rvd25yZXYu&#10;eG1sUEsBAhQAFAAAAAgAh07iQDmMeSOnAgAAUAUAAA4AAAAAAAAAAQAgAAAAJgEAAGRycy9lMm9E&#10;b2MueG1sUEsFBgAAAAAGAAYAWQEAAD8GAAAAAA==&#10;" adj="18649">
                <v:fill on="t" focussize="0,0"/>
                <v:stroke weight="3pt" color="#FFFFFF" joinstyle="round"/>
                <v:imagedata o:title=""/>
                <o:lock v:ext="edit" aspectratio="f"/>
                <v:shadow on="t" color="#000000" opacity="24903f" offset="0pt,1.5748031496063pt" origin="0f,32768f" matrix="65536f,0f,0f,65536f"/>
                <v:textbox>
                  <w:txbxContent>
                    <w:p>
                      <w:pPr>
                        <w:spacing w:line="300" w:lineRule="exact"/>
                        <w:jc w:val="center"/>
                        <w:rPr>
                          <w:rFonts w:ascii="微软雅黑" w:hAnsi="微软雅黑" w:eastAsia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讲师介绍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spacing w:before="0" w:beforeAutospacing="0" w:after="0" w:afterAutospacing="0" w:line="460" w:lineRule="exact"/>
        <w:jc w:val="center"/>
        <w:rPr>
          <w:rFonts w:ascii="华文行楷" w:hAnsi="华文楷体" w:eastAsia="华文行楷"/>
          <w:color w:val="4A452A" w:themeColor="background2" w:themeShade="40"/>
          <w:sz w:val="36"/>
          <w:szCs w:val="36"/>
        </w:rPr>
      </w:pPr>
    </w:p>
    <w:p>
      <w:pPr>
        <w:pStyle w:val="6"/>
        <w:spacing w:before="0" w:beforeAutospacing="0" w:after="0" w:afterAutospacing="0" w:line="460" w:lineRule="exact"/>
        <w:jc w:val="both"/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  <w:lang w:val="en-US" w:eastAsia="zh-CN"/>
        </w:rPr>
        <w:t>胡和平</w:t>
      </w:r>
      <w:r>
        <w:rPr>
          <w:rFonts w:hint="eastAsia" w:ascii="微软雅黑" w:hAnsi="微软雅黑" w:eastAsia="微软雅黑"/>
          <w:b/>
          <w:sz w:val="28"/>
        </w:rPr>
        <w:t xml:space="preserve">老师 </w:t>
      </w:r>
      <w:r>
        <w:rPr>
          <w:rFonts w:hint="eastAsia" w:ascii="微软雅黑" w:hAnsi="微软雅黑" w:eastAsia="微软雅黑"/>
          <w:b/>
          <w:sz w:val="21"/>
          <w:szCs w:val="21"/>
        </w:rPr>
        <w:t>人力资源实战专家</w:t>
      </w:r>
    </w:p>
    <w:p>
      <w:pPr>
        <w:pStyle w:val="15"/>
        <w:spacing w:line="400" w:lineRule="exact"/>
        <w:ind w:left="-426" w:firstLine="480"/>
        <w:rPr>
          <w:rFonts w:hint="eastAsia" w:ascii="宋体" w:hAnsi="宋体" w:eastAsia="宋体" w:cs="宋体"/>
          <w:color w:val="17375E" w:themeColor="text2" w:themeShade="BF"/>
          <w:sz w:val="24"/>
          <w:szCs w:val="24"/>
        </w:rPr>
      </w:pPr>
      <w:r>
        <w:rPr>
          <w:rFonts w:hint="eastAsia" w:ascii="宋体" w:hAnsi="宋体" w:eastAsia="宋体" w:cs="宋体"/>
          <w:color w:val="17375E" w:themeColor="text2" w:themeShade="BF"/>
          <w:sz w:val="24"/>
          <w:szCs w:val="24"/>
        </w:rPr>
        <w:t>●国家级人力资源管理师</w:t>
      </w:r>
    </w:p>
    <w:p>
      <w:pPr>
        <w:pStyle w:val="15"/>
        <w:spacing w:line="400" w:lineRule="exact"/>
        <w:ind w:left="-426" w:firstLine="480"/>
        <w:rPr>
          <w:rFonts w:hint="eastAsia" w:ascii="宋体" w:hAnsi="宋体" w:eastAsia="宋体" w:cs="宋体"/>
          <w:color w:val="17375E" w:themeColor="text2" w:themeShade="BF"/>
          <w:sz w:val="24"/>
          <w:szCs w:val="24"/>
        </w:rPr>
      </w:pPr>
      <w:r>
        <w:rPr>
          <w:rFonts w:hint="eastAsia" w:ascii="宋体" w:hAnsi="宋体" w:eastAsia="宋体" w:cs="宋体"/>
          <w:color w:val="17375E" w:themeColor="text2" w:themeShade="BF"/>
          <w:sz w:val="24"/>
          <w:szCs w:val="24"/>
        </w:rPr>
        <w:t>●企业流程管理专家</w:t>
      </w:r>
    </w:p>
    <w:p>
      <w:pPr>
        <w:pStyle w:val="15"/>
        <w:spacing w:line="400" w:lineRule="exact"/>
        <w:ind w:left="-426" w:firstLine="480"/>
        <w:rPr>
          <w:rFonts w:hint="eastAsia" w:ascii="宋体" w:hAnsi="宋体" w:eastAsia="宋体" w:cs="宋体"/>
          <w:color w:val="17375E" w:themeColor="text2" w:themeShade="BF"/>
          <w:sz w:val="24"/>
          <w:szCs w:val="24"/>
        </w:rPr>
      </w:pPr>
      <w:r>
        <w:rPr>
          <w:rFonts w:hint="eastAsia" w:ascii="宋体" w:hAnsi="宋体" w:eastAsia="宋体" w:cs="宋体"/>
          <w:color w:val="17375E" w:themeColor="text2" w:themeShade="BF"/>
          <w:sz w:val="24"/>
          <w:szCs w:val="24"/>
        </w:rPr>
        <w:t>●浙江省“十佳HR经理人”</w:t>
      </w:r>
    </w:p>
    <w:p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</w:rPr>
        <w:t>工商管理硕士、高级经济师、高级人力资源管理师、国家注册管理咨询师、浙江省“十佳HR经理人”,浙江省优秀管理培训师、杭州大学生就业创业指导专家，人力资源管理师、企业培训师资深讲师。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</w:rPr>
        <w:t>历任大型国有企业办公室主任、中国民营500强企业人力资源总监、人力资源公司总经理职务。对现代企业人力资源管理模式有系统的了解和丰富的实践经验积累；对集团管控模式有系统的研究，形成“三位一体”的集团管控模式，在实践中取得较好成效。具有全面统筹规划公司HR战略和HR管理平台运营的能力，对战略HR、HR运营体系和人力资源的开发有深刻理解；具有战略、策略化思维意识，在企业战略、组织发展与组织诊断、HR运营系统方面具有丰富实战经验；具有丰富的HR理论与操作实践经验，对企业组织架构设计、HR战略规划与配置、员工职业生涯设计、薪酬福利设计、培训与绩效管理等方面有丰富经验。</w:t>
      </w:r>
    </w:p>
    <w:p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-662305</wp:posOffset>
                </wp:positionH>
                <wp:positionV relativeFrom="paragraph">
                  <wp:posOffset>167640</wp:posOffset>
                </wp:positionV>
                <wp:extent cx="1638300" cy="447675"/>
                <wp:effectExtent l="52705" t="33020" r="61595" b="90805"/>
                <wp:wrapNone/>
                <wp:docPr id="13" name="五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447675"/>
                        </a:xfrm>
                        <a:prstGeom prst="homePlate">
                          <a:avLst/>
                        </a:prstGeom>
                        <a:solidFill>
                          <a:srgbClr val="002060"/>
                        </a:solidFill>
                        <a:ln w="38100" cap="flat" cmpd="sng" algn="ctr">
                          <a:solidFill>
                            <a:srgbClr val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参课信息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-52.15pt;margin-top:13.2pt;height:35.25pt;width:129pt;z-index:251676672;v-text-anchor:middle;mso-width-relative:page;mso-height-relative:page;" fillcolor="#002060" filled="t" stroked="t" coordsize="21600,21600" o:gfxdata="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LEFhDjaAAAACgEAAA8AAAAAAAAAAQAgAAAAIgAAAGRycy9kb3du&#10;cmV2LnhtbFBLAQIUABQAAAAIAIdO4kCWu81KqAIAAFAFAAAOAAAAAAAAAAEAIAAAACkBAABkcnMv&#10;ZTJvRG9jLnhtbFBLBQYAAAAABgAGAFkBAABDBgAAAAA=&#10;" adj="18649">
                <v:fill on="t" focussize="0,0"/>
                <v:stroke weight="3pt" color="#FFFFFF" joinstyle="round"/>
                <v:imagedata o:title=""/>
                <o:lock v:ext="edit" aspectratio="f"/>
                <v:shadow on="t" color="#000000" opacity="24903f" offset="0pt,1.5748031496063pt" origin="0f,32768f" matrix="65536f,0f,0f,65536f"/>
                <v:textbox>
                  <w:txbxContent>
                    <w:p>
                      <w:pPr>
                        <w:spacing w:line="300" w:lineRule="exact"/>
                        <w:jc w:val="center"/>
                        <w:rPr>
                          <w:rFonts w:ascii="微软雅黑" w:hAnsi="微软雅黑" w:eastAsia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参课信息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20" w:lineRule="exact"/>
        <w:ind w:right="-483" w:rightChars="-230"/>
        <w:rPr>
          <w:rFonts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8"/>
        </w:numPr>
        <w:spacing w:line="420" w:lineRule="exact"/>
        <w:ind w:left="-153" w:leftChars="-202" w:right="-483" w:rightChars="-230" w:hanging="271" w:hangingChars="118"/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8"/>
        </w:numPr>
        <w:spacing w:line="420" w:lineRule="exact"/>
        <w:ind w:left="-152" w:leftChars="-202" w:right="-483" w:rightChars="-230" w:hanging="272" w:hangingChars="118"/>
        <w:rPr>
          <w:rFonts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 主办单位</w:t>
      </w:r>
      <w:r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： 北京百朗教育发展有限公司</w:t>
      </w:r>
      <w:r>
        <w:rPr>
          <w:rFonts w:hint="eastAsia" w:ascii="微软雅黑" w:hAnsi="微软雅黑" w:eastAsia="微软雅黑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numPr>
          <w:ilvl w:val="0"/>
          <w:numId w:val="8"/>
        </w:numPr>
        <w:spacing w:line="420" w:lineRule="exact"/>
        <w:ind w:left="-153" w:leftChars="-202" w:right="-483" w:rightChars="-230" w:hanging="271" w:hangingChars="118"/>
        <w:rPr>
          <w:rFonts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 xml:space="preserve">            贵州省人才大市场（贵州易信特人力资源有限公司）</w:t>
      </w:r>
    </w:p>
    <w:p>
      <w:pPr>
        <w:numPr>
          <w:ilvl w:val="0"/>
          <w:numId w:val="8"/>
        </w:numPr>
        <w:spacing w:line="420" w:lineRule="exact"/>
        <w:ind w:left="-152" w:leftChars="-202" w:right="-483" w:rightChars="-230" w:hanging="272" w:hangingChars="118"/>
        <w:rPr>
          <w:rFonts w:ascii="微软雅黑" w:hAnsi="微软雅黑" w:eastAsia="微软雅黑"/>
          <w:b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 培训对象</w:t>
      </w:r>
      <w:r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：人力资源总监、人力资源经理、绩效考核经理、绩效考核主管以及其他学习者</w:t>
      </w:r>
    </w:p>
    <w:p>
      <w:pPr>
        <w:numPr>
          <w:ilvl w:val="0"/>
          <w:numId w:val="8"/>
        </w:numPr>
        <w:spacing w:line="420" w:lineRule="exact"/>
        <w:ind w:left="-152" w:leftChars="-202" w:right="-483" w:rightChars="-230" w:hanging="272" w:hangingChars="118"/>
        <w:rPr>
          <w:rFonts w:hint="default" w:ascii="仿宋_GB2312" w:eastAsia="仿宋_GB2312"/>
          <w:b/>
          <w:bCs/>
          <w:color w:val="00B0F0"/>
          <w:sz w:val="28"/>
          <w:szCs w:val="28"/>
          <w:lang w:val="en-US"/>
        </w:rPr>
      </w:pPr>
      <w:r>
        <w:rPr>
          <w:rFonts w:hint="eastAsia" w:ascii="微软雅黑" w:hAnsi="微软雅黑" w:eastAsia="微软雅黑"/>
          <w:b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 课程时间</w:t>
      </w:r>
      <w:r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hint="eastAsia" w:ascii="微软雅黑" w:hAnsi="微软雅黑" w:eastAsia="微软雅黑"/>
          <w:b/>
          <w:bCs/>
          <w:color w:val="FF0000"/>
          <w:sz w:val="23"/>
          <w:szCs w:val="23"/>
          <w:lang w:val="en-US" w:eastAsia="zh-CN"/>
        </w:rPr>
        <w:t xml:space="preserve"> </w:t>
      </w:r>
    </w:p>
    <w:p>
      <w:pPr>
        <w:spacing w:line="420" w:lineRule="exact"/>
        <w:ind w:left="-153" w:right="-483" w:rightChars="-230"/>
        <w:rPr>
          <w:rFonts w:hint="eastAsia" w:ascii="微软雅黑" w:hAnsi="微软雅黑" w:eastAsia="微软雅黑"/>
          <w:b/>
          <w:color w:val="FF0000"/>
          <w:sz w:val="23"/>
          <w:szCs w:val="23"/>
          <w:lang w:val="en-US" w:eastAsia="zh-CN"/>
        </w:rPr>
      </w:pPr>
      <w:r>
        <w:rPr>
          <w:rFonts w:hint="eastAsia" w:ascii="微软雅黑" w:hAnsi="微软雅黑" w:eastAsia="微软雅黑"/>
          <w:b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微软雅黑" w:hAnsi="微软雅黑" w:eastAsia="微软雅黑"/>
          <w:b/>
          <w:color w:val="FF0000"/>
          <w:sz w:val="23"/>
          <w:szCs w:val="23"/>
          <w:lang w:val="en-US" w:eastAsia="zh-CN"/>
        </w:rPr>
        <w:t xml:space="preserve">  2019年10月24-25日   地点：贵阳市</w:t>
      </w:r>
    </w:p>
    <w:p>
      <w:pPr>
        <w:spacing w:line="420" w:lineRule="exact"/>
        <w:ind w:left="-672" w:leftChars="-320" w:right="-483" w:rightChars="-230" w:firstLine="690" w:firstLineChars="300"/>
        <w:rPr>
          <w:rFonts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会务组根据各单位回传报名回执表，于开班前一星期以传真形式通知参加培训人员具体报到</w:t>
      </w:r>
    </w:p>
    <w:p>
      <w:pPr>
        <w:spacing w:line="420" w:lineRule="exact"/>
        <w:ind w:left="-672" w:leftChars="-320" w:right="-483" w:rightChars="-230" w:firstLine="690" w:firstLineChars="300"/>
        <w:rPr>
          <w:rFonts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地点、乘车路线及相关注意事项等。</w:t>
      </w:r>
    </w:p>
    <w:p>
      <w:pPr>
        <w:numPr>
          <w:ilvl w:val="0"/>
          <w:numId w:val="8"/>
        </w:numPr>
        <w:spacing w:line="420" w:lineRule="exact"/>
        <w:ind w:left="-152" w:leftChars="-202" w:right="-483" w:rightChars="-230" w:hanging="272" w:hangingChars="118"/>
        <w:rPr>
          <w:rFonts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 培训费用</w:t>
      </w:r>
      <w:r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：</w:t>
      </w:r>
    </w:p>
    <w:p>
      <w:pPr>
        <w:spacing w:line="420" w:lineRule="exact"/>
        <w:ind w:left="-672" w:leftChars="-320" w:right="-483" w:rightChars="-230" w:firstLine="690" w:firstLineChars="300"/>
        <w:rPr>
          <w:rFonts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FF0000"/>
          <w:sz w:val="23"/>
          <w:szCs w:val="23"/>
        </w:rPr>
        <w:t>学员收费2200元/人</w:t>
      </w:r>
      <w:r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（含学费、资料讲义、学习文具、培训期间午餐），报到后统一开具发票；如需安排住宿，会务组可统一安排，费用自理。</w:t>
      </w:r>
    </w:p>
    <w:p>
      <w:pPr>
        <w:numPr>
          <w:ilvl w:val="0"/>
          <w:numId w:val="8"/>
        </w:numPr>
        <w:spacing w:line="420" w:lineRule="exact"/>
        <w:ind w:left="-152" w:leftChars="-202" w:right="-483" w:rightChars="-230" w:hanging="272" w:hangingChars="118"/>
        <w:rPr>
          <w:rFonts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报名方法：</w:t>
      </w:r>
    </w:p>
    <w:p>
      <w:pPr>
        <w:spacing w:line="420" w:lineRule="exact"/>
        <w:ind w:left="-672" w:leftChars="-320" w:right="-483" w:rightChars="-230" w:firstLine="460" w:firstLineChars="200"/>
        <w:rPr>
          <w:rFonts w:hint="eastAsia" w:ascii="微软雅黑" w:hAnsi="微软雅黑" w:eastAsia="微软雅黑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咨询专线：</w:t>
      </w:r>
      <w:r>
        <w:rPr>
          <w:rFonts w:hint="eastAsia" w:ascii="微软雅黑" w:hAnsi="微软雅黑" w:eastAsia="微软雅黑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0851-88202833</w:t>
      </w:r>
    </w:p>
    <w:p>
      <w:pPr>
        <w:spacing w:line="420" w:lineRule="exact"/>
        <w:ind w:left="-672" w:leftChars="-320" w:right="-483" w:rightChars="-230" w:firstLine="460" w:firstLineChars="200"/>
        <w:rPr>
          <w:rFonts w:hint="default" w:ascii="微软雅黑" w:hAnsi="微软雅黑" w:eastAsia="微软雅黑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  <w:t>报名地址：贵阳市毓秀路27号贵州人才大市场4楼培训部</w:t>
      </w:r>
    </w:p>
    <w:p>
      <w:pPr>
        <w:spacing w:line="420" w:lineRule="exact"/>
        <w:ind w:left="-672" w:leftChars="-320" w:right="-483" w:rightChars="-230" w:firstLine="460" w:firstLineChars="200"/>
        <w:rPr>
          <w:rFonts w:hint="default" w:ascii="微软雅黑" w:hAnsi="微软雅黑" w:eastAsia="微软雅黑"/>
          <w:color w:val="000000" w:themeColor="text1"/>
          <w:sz w:val="23"/>
          <w:szCs w:val="23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left="-672" w:leftChars="-320" w:right="-483" w:rightChars="-230" w:firstLine="460" w:firstLineChars="200"/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line="420" w:lineRule="exact"/>
        <w:ind w:left="-672" w:leftChars="-320" w:right="-483" w:rightChars="-230" w:firstLine="460" w:firstLineChars="200"/>
        <w:rPr>
          <w:rFonts w:hint="eastAsia" w:ascii="微软雅黑" w:hAnsi="微软雅黑" w:eastAsia="微软雅黑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pStyle w:val="19"/>
        <w:spacing w:before="0" w:beforeAutospacing="0" w:after="0" w:afterAutospacing="0" w:line="480" w:lineRule="exact"/>
        <w:jc w:val="center"/>
        <w:rPr>
          <w:rFonts w:hint="eastAsia" w:ascii="方正小标宋简体" w:hAnsi="Times New Roman" w:eastAsia="方正小标宋简体" w:cs="Times New Roman"/>
          <w:b/>
          <w:bCs/>
          <w:kern w:val="2"/>
          <w:sz w:val="36"/>
          <w:szCs w:val="36"/>
        </w:rPr>
      </w:pPr>
    </w:p>
    <w:p>
      <w:pPr>
        <w:pStyle w:val="19"/>
        <w:spacing w:before="0" w:beforeAutospacing="0" w:after="0" w:afterAutospacing="0" w:line="480" w:lineRule="exact"/>
        <w:jc w:val="center"/>
        <w:rPr>
          <w:rFonts w:hint="eastAsia" w:ascii="方正小标宋简体" w:hAnsi="Times New Roman" w:eastAsia="方正小标宋简体" w:cs="Times New Roman"/>
          <w:b/>
          <w:bCs/>
          <w:kern w:val="2"/>
          <w:sz w:val="36"/>
          <w:szCs w:val="36"/>
        </w:rPr>
      </w:pPr>
    </w:p>
    <w:p>
      <w:pPr>
        <w:pStyle w:val="1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/>
          <w:bCs/>
          <w:color w:val="C00000"/>
          <w:kern w:val="2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/>
          <w:bCs/>
          <w:color w:val="C00000"/>
          <w:kern w:val="2"/>
          <w:sz w:val="36"/>
          <w:szCs w:val="36"/>
        </w:rPr>
        <w:t>人力资源“七定”微咨询式管理培训——定“岗</w:t>
      </w:r>
      <w:r>
        <w:rPr>
          <w:rFonts w:hint="eastAsia" w:ascii="MS Mincho" w:hAnsi="MS Mincho" w:eastAsia="MS Mincho" w:cs="MS Mincho"/>
          <w:b/>
          <w:bCs/>
          <w:color w:val="C00000"/>
          <w:kern w:val="2"/>
          <w:sz w:val="36"/>
          <w:szCs w:val="36"/>
        </w:rPr>
        <w:t>･</w:t>
      </w:r>
      <w:r>
        <w:rPr>
          <w:rFonts w:hint="eastAsia" w:ascii="黑体" w:hAnsi="黑体" w:eastAsia="黑体" w:cs="黑体"/>
          <w:b/>
          <w:bCs/>
          <w:color w:val="C00000"/>
          <w:kern w:val="2"/>
          <w:sz w:val="36"/>
          <w:szCs w:val="36"/>
        </w:rPr>
        <w:t>编</w:t>
      </w:r>
      <w:r>
        <w:rPr>
          <w:rFonts w:hint="eastAsia" w:ascii="MS Mincho" w:hAnsi="MS Mincho" w:eastAsia="MS Mincho" w:cs="MS Mincho"/>
          <w:b/>
          <w:bCs/>
          <w:color w:val="C00000"/>
          <w:kern w:val="2"/>
          <w:sz w:val="36"/>
          <w:szCs w:val="36"/>
        </w:rPr>
        <w:t>･</w:t>
      </w:r>
      <w:r>
        <w:rPr>
          <w:rFonts w:hint="eastAsia" w:ascii="黑体" w:hAnsi="黑体" w:eastAsia="黑体" w:cs="黑体"/>
          <w:b/>
          <w:bCs/>
          <w:color w:val="C00000"/>
          <w:kern w:val="2"/>
          <w:sz w:val="36"/>
          <w:szCs w:val="36"/>
        </w:rPr>
        <w:t>责</w:t>
      </w:r>
      <w:r>
        <w:rPr>
          <w:rFonts w:hint="eastAsia" w:ascii="MS Mincho" w:hAnsi="MS Mincho" w:eastAsia="MS Mincho" w:cs="MS Mincho"/>
          <w:b/>
          <w:bCs/>
          <w:color w:val="C00000"/>
          <w:kern w:val="2"/>
          <w:sz w:val="36"/>
          <w:szCs w:val="36"/>
        </w:rPr>
        <w:t>･</w:t>
      </w:r>
      <w:r>
        <w:rPr>
          <w:rFonts w:hint="eastAsia" w:ascii="黑体" w:hAnsi="黑体" w:eastAsia="黑体" w:cs="黑体"/>
          <w:b/>
          <w:bCs/>
          <w:color w:val="C00000"/>
          <w:kern w:val="2"/>
          <w:sz w:val="36"/>
          <w:szCs w:val="36"/>
        </w:rPr>
        <w:t>级</w:t>
      </w:r>
      <w:r>
        <w:rPr>
          <w:rFonts w:hint="eastAsia" w:ascii="MS Mincho" w:hAnsi="MS Mincho" w:eastAsia="MS Mincho" w:cs="MS Mincho"/>
          <w:b/>
          <w:bCs/>
          <w:color w:val="C00000"/>
          <w:kern w:val="2"/>
          <w:sz w:val="36"/>
          <w:szCs w:val="36"/>
        </w:rPr>
        <w:t>･</w:t>
      </w:r>
      <w:r>
        <w:rPr>
          <w:rFonts w:hint="eastAsia" w:ascii="黑体" w:hAnsi="黑体" w:eastAsia="黑体" w:cs="黑体"/>
          <w:b/>
          <w:bCs/>
          <w:color w:val="C00000"/>
          <w:kern w:val="2"/>
          <w:sz w:val="36"/>
          <w:szCs w:val="36"/>
        </w:rPr>
        <w:t>额</w:t>
      </w:r>
      <w:r>
        <w:rPr>
          <w:rFonts w:hint="eastAsia" w:ascii="MS Mincho" w:hAnsi="MS Mincho" w:eastAsia="MS Mincho" w:cs="MS Mincho"/>
          <w:b/>
          <w:bCs/>
          <w:color w:val="C00000"/>
          <w:kern w:val="2"/>
          <w:sz w:val="36"/>
          <w:szCs w:val="36"/>
        </w:rPr>
        <w:t>･</w:t>
      </w:r>
      <w:r>
        <w:rPr>
          <w:rFonts w:hint="eastAsia" w:ascii="黑体" w:hAnsi="黑体" w:eastAsia="黑体" w:cs="黑体"/>
          <w:b/>
          <w:bCs/>
          <w:color w:val="C00000"/>
          <w:kern w:val="2"/>
          <w:sz w:val="36"/>
          <w:szCs w:val="36"/>
        </w:rPr>
        <w:t>薪</w:t>
      </w:r>
      <w:r>
        <w:rPr>
          <w:rFonts w:hint="eastAsia" w:ascii="MS Mincho" w:hAnsi="MS Mincho" w:eastAsia="MS Mincho" w:cs="MS Mincho"/>
          <w:b/>
          <w:bCs/>
          <w:color w:val="C00000"/>
          <w:kern w:val="2"/>
          <w:sz w:val="36"/>
          <w:szCs w:val="36"/>
        </w:rPr>
        <w:t>･</w:t>
      </w:r>
      <w:r>
        <w:rPr>
          <w:rFonts w:hint="eastAsia" w:ascii="黑体" w:hAnsi="黑体" w:eastAsia="黑体" w:cs="黑体"/>
          <w:b/>
          <w:bCs/>
          <w:color w:val="C00000"/>
          <w:kern w:val="2"/>
          <w:sz w:val="36"/>
          <w:szCs w:val="36"/>
        </w:rPr>
        <w:t>绩</w:t>
      </w:r>
      <w:r>
        <w:rPr>
          <w:rFonts w:hint="eastAsia" w:ascii="黑体" w:hAnsi="黑体" w:eastAsia="黑体" w:cs="黑体"/>
          <w:b/>
          <w:bCs/>
          <w:color w:val="C00000"/>
          <w:kern w:val="2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Times New Roman" w:eastAsia="方正小标宋简体" w:cs="Times New Roman"/>
          <w:b/>
          <w:bCs/>
          <w:color w:val="C00000"/>
          <w:kern w:val="2"/>
          <w:sz w:val="36"/>
          <w:szCs w:val="36"/>
        </w:rPr>
        <w:t>报名回执表</w:t>
      </w:r>
    </w:p>
    <w:tbl>
      <w:tblPr>
        <w:tblStyle w:val="8"/>
        <w:tblW w:w="9316" w:type="dxa"/>
        <w:jc w:val="center"/>
        <w:tblCellSpacing w:w="20" w:type="dxa"/>
        <w:tblInd w:w="0" w:type="dxa"/>
        <w:tblBorders>
          <w:top w:val="inset" w:color="auto" w:sz="6" w:space="0"/>
          <w:left w:val="inset" w:color="auto" w:sz="6" w:space="0"/>
          <w:bottom w:val="inset" w:color="auto" w:sz="6" w:space="0"/>
          <w:right w:val="inset" w:color="auto" w:sz="6" w:space="0"/>
          <w:insideH w:val="inset" w:color="auto" w:sz="6" w:space="0"/>
          <w:insideV w:val="in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603"/>
        <w:gridCol w:w="535"/>
        <w:gridCol w:w="93"/>
        <w:gridCol w:w="1843"/>
        <w:gridCol w:w="1984"/>
        <w:gridCol w:w="891"/>
        <w:gridCol w:w="1644"/>
      </w:tblGrid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单位名称</w:t>
            </w:r>
          </w:p>
        </w:tc>
        <w:tc>
          <w:tcPr>
            <w:tcW w:w="7533" w:type="dxa"/>
            <w:gridSpan w:val="7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通讯地址</w:t>
            </w:r>
          </w:p>
        </w:tc>
        <w:tc>
          <w:tcPr>
            <w:tcW w:w="5018" w:type="dxa"/>
            <w:gridSpan w:val="5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邮编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联系人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803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联系电话</w:t>
            </w:r>
          </w:p>
        </w:tc>
        <w:tc>
          <w:tcPr>
            <w:tcW w:w="1944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传真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QQ</w:t>
            </w:r>
          </w:p>
        </w:tc>
        <w:tc>
          <w:tcPr>
            <w:tcW w:w="3034" w:type="dxa"/>
            <w:gridSpan w:val="4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944" w:type="dxa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邮箱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学员姓名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性别</w:t>
            </w: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职务</w:t>
            </w:r>
          </w:p>
        </w:tc>
        <w:tc>
          <w:tcPr>
            <w:tcW w:w="1944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eastAsia="宋体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手机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邮箱</w:t>
            </w: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944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944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944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944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944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1663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1944" w:type="dxa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2266" w:type="dxa"/>
            <w:gridSpan w:val="2"/>
            <w:vMerge w:val="restart"/>
            <w:vAlign w:val="center"/>
          </w:tcPr>
          <w:p>
            <w:pPr>
              <w:widowControl/>
              <w:jc w:val="left"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增值税发票开票信息</w:t>
            </w:r>
          </w:p>
          <w:p>
            <w:pPr>
              <w:widowControl/>
              <w:jc w:val="left"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（在</w:t>
            </w:r>
            <w:r>
              <w:rPr>
                <w:rFonts w:ascii="Arial" w:hAnsi="Arial" w:eastAsia="黑体" w:cs="Arial"/>
                <w:kern w:val="0"/>
              </w:rPr>
              <w:t>□</w:t>
            </w:r>
            <w:r>
              <w:rPr>
                <w:rFonts w:hint="eastAsia" w:ascii="Arial" w:hAnsi="Arial" w:cs="Arial"/>
                <w:kern w:val="0"/>
              </w:rPr>
              <w:t>打勾</w:t>
            </w:r>
            <w:r>
              <w:rPr>
                <w:rFonts w:ascii="Arial" w:hAnsi="Arial" w:cs="Arial"/>
                <w:kern w:val="0"/>
              </w:rPr>
              <w:t>)</w:t>
            </w:r>
            <w:r>
              <w:rPr>
                <w:rFonts w:hint="eastAsia" w:ascii="Arial" w:hAnsi="Arial" w:cs="Arial"/>
                <w:kern w:val="0"/>
              </w:rPr>
              <w:t xml:space="preserve">：    </w:t>
            </w:r>
          </w:p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ascii="Arial" w:hAnsi="Arial" w:eastAsia="黑体" w:cs="Arial"/>
                <w:kern w:val="0"/>
              </w:rPr>
              <w:t>□</w:t>
            </w:r>
            <w:r>
              <w:rPr>
                <w:rFonts w:hint="eastAsia" w:ascii="Arial" w:hAnsi="Arial" w:cs="Arial"/>
                <w:kern w:val="0"/>
              </w:rPr>
              <w:t xml:space="preserve">专票   </w:t>
            </w:r>
            <w:r>
              <w:rPr>
                <w:rFonts w:ascii="Arial" w:hAnsi="Arial" w:eastAsia="黑体" w:cs="Arial"/>
                <w:kern w:val="0"/>
              </w:rPr>
              <w:t>□</w:t>
            </w:r>
            <w:r>
              <w:rPr>
                <w:rFonts w:hint="eastAsia" w:ascii="Arial" w:hAnsi="Arial" w:cs="Arial"/>
                <w:kern w:val="0"/>
              </w:rPr>
              <w:t>普票</w:t>
            </w:r>
          </w:p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widowControl/>
              <w:jc w:val="left"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单位名称：</w:t>
            </w:r>
          </w:p>
        </w:tc>
        <w:tc>
          <w:tcPr>
            <w:tcW w:w="4459" w:type="dxa"/>
            <w:gridSpan w:val="3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2266" w:type="dxa"/>
            <w:gridSpan w:val="2"/>
            <w:vMerge w:val="continue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  <w:szCs w:val="20"/>
              </w:rPr>
              <w:t>纳税人识别号：</w:t>
            </w:r>
          </w:p>
        </w:tc>
        <w:tc>
          <w:tcPr>
            <w:tcW w:w="4459" w:type="dxa"/>
            <w:gridSpan w:val="3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2266" w:type="dxa"/>
            <w:gridSpan w:val="2"/>
            <w:vMerge w:val="continue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widowControl/>
              <w:jc w:val="left"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单位地址、电话：</w:t>
            </w:r>
          </w:p>
        </w:tc>
        <w:tc>
          <w:tcPr>
            <w:tcW w:w="4459" w:type="dxa"/>
            <w:gridSpan w:val="3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  <w:tr>
        <w:tblPrEx>
          <w:tblBorders>
            <w:top w:val="inset" w:color="auto" w:sz="6" w:space="0"/>
            <w:left w:val="inset" w:color="auto" w:sz="6" w:space="0"/>
            <w:bottom w:val="inset" w:color="auto" w:sz="6" w:space="0"/>
            <w:right w:val="inset" w:color="auto" w:sz="6" w:space="0"/>
            <w:insideH w:val="inset" w:color="auto" w:sz="6" w:space="0"/>
            <w:insideV w:val="in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CellSpacing w:w="20" w:type="dxa"/>
          <w:jc w:val="center"/>
        </w:trPr>
        <w:tc>
          <w:tcPr>
            <w:tcW w:w="2266" w:type="dxa"/>
            <w:gridSpan w:val="2"/>
            <w:vMerge w:val="continue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widowControl/>
              <w:outlineLvl w:val="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</w:rPr>
              <w:t>开户银行、帐号：</w:t>
            </w:r>
          </w:p>
        </w:tc>
        <w:tc>
          <w:tcPr>
            <w:tcW w:w="4459" w:type="dxa"/>
            <w:gridSpan w:val="3"/>
            <w:vAlign w:val="center"/>
          </w:tcPr>
          <w:p>
            <w:pPr>
              <w:widowControl/>
              <w:jc w:val="center"/>
              <w:outlineLvl w:val="0"/>
              <w:rPr>
                <w:rFonts w:ascii="Arial" w:hAnsi="Arial" w:cs="Arial"/>
                <w:kern w:val="0"/>
              </w:rPr>
            </w:pPr>
          </w:p>
        </w:tc>
      </w:tr>
    </w:tbl>
    <w:p>
      <w:pPr>
        <w:spacing w:line="320" w:lineRule="exact"/>
        <w:ind w:firstLine="4830" w:firstLineChars="2300"/>
        <w:rPr>
          <w:rFonts w:hint="eastAsia" w:ascii="方正小标宋简体" w:eastAsiaTheme="minorEastAsia"/>
          <w:sz w:val="36"/>
          <w:szCs w:val="36"/>
          <w:lang w:eastAsia="zh-CN"/>
        </w:rPr>
      </w:pPr>
      <w:r>
        <w:rPr>
          <w:rFonts w:hint="eastAsia"/>
        </w:rPr>
        <w:t>（此表复印有效</w:t>
      </w:r>
      <w:r>
        <w:rPr>
          <w:rFonts w:hint="eastAsia"/>
          <w:lang w:eastAsia="zh-CN"/>
        </w:rPr>
        <w:t>）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274" w:bottom="1440" w:left="1800" w:header="851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 w:ascii="仿宋" w:hAnsi="仿宋" w:eastAsia="仿宋" w:cs="仿宋"/>
        <w:b/>
        <w:bCs/>
        <w:sz w:val="21"/>
        <w:szCs w:val="21"/>
        <w:lang w:val="en-US" w:eastAsia="zh-CN"/>
      </w:rPr>
      <w:t xml:space="preserve">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4" w:space="1"/>
      </w:pBdr>
      <w:rPr>
        <w:rFonts w:hint="default"/>
        <w:lang w:val="en-US"/>
      </w:rPr>
    </w:pPr>
    <w:r>
      <w:rPr>
        <w:rFonts w:hint="eastAsia" w:ascii="仿宋" w:hAnsi="仿宋" w:eastAsia="仿宋" w:cs="仿宋"/>
        <w:b/>
        <w:bCs/>
        <w:sz w:val="21"/>
        <w:szCs w:val="21"/>
        <w:lang w:val="en-US" w:eastAsia="zh-CN"/>
      </w:rPr>
      <w:t xml:space="preserve">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0" type="#_x0000_t75" style="width:7px;height:12px" o:bullet="t">
        <v:imagedata r:id="rId1" o:title=""/>
      </v:shape>
    </w:pict>
  </w:numPicBullet>
  <w:abstractNum w:abstractNumId="0">
    <w:nsid w:val="2BF20DB7"/>
    <w:multiLevelType w:val="multilevel"/>
    <w:tmpl w:val="2BF20DB7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  <w:b/>
        <w:color w:val="4A452A" w:themeColor="background2" w:themeShade="4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DFF4CB4"/>
    <w:multiLevelType w:val="multilevel"/>
    <w:tmpl w:val="2DFF4CB4"/>
    <w:lvl w:ilvl="0" w:tentative="0">
      <w:start w:val="1"/>
      <w:numFmt w:val="japaneseCounting"/>
      <w:lvlText w:val="%1、"/>
      <w:lvlJc w:val="left"/>
      <w:pPr>
        <w:ind w:left="988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2">
    <w:nsid w:val="32B637EB"/>
    <w:multiLevelType w:val="multilevel"/>
    <w:tmpl w:val="32B637EB"/>
    <w:lvl w:ilvl="0" w:tentative="0">
      <w:start w:val="4"/>
      <w:numFmt w:val="japaneseCounting"/>
      <w:lvlText w:val="%1、"/>
      <w:lvlJc w:val="left"/>
      <w:pPr>
        <w:ind w:left="105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3">
    <w:nsid w:val="39081B61"/>
    <w:multiLevelType w:val="multilevel"/>
    <w:tmpl w:val="39081B61"/>
    <w:lvl w:ilvl="0" w:tentative="0">
      <w:start w:val="9"/>
      <w:numFmt w:val="japaneseCounting"/>
      <w:lvlText w:val="%1、"/>
      <w:lvlJc w:val="left"/>
      <w:pPr>
        <w:ind w:left="1259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79" w:hanging="420"/>
      </w:pPr>
    </w:lvl>
    <w:lvl w:ilvl="2" w:tentative="0">
      <w:start w:val="1"/>
      <w:numFmt w:val="lowerRoman"/>
      <w:lvlText w:val="%3."/>
      <w:lvlJc w:val="right"/>
      <w:pPr>
        <w:ind w:left="2099" w:hanging="420"/>
      </w:pPr>
    </w:lvl>
    <w:lvl w:ilvl="3" w:tentative="0">
      <w:start w:val="1"/>
      <w:numFmt w:val="decimal"/>
      <w:lvlText w:val="%4."/>
      <w:lvlJc w:val="left"/>
      <w:pPr>
        <w:ind w:left="2519" w:hanging="420"/>
      </w:pPr>
    </w:lvl>
    <w:lvl w:ilvl="4" w:tentative="0">
      <w:start w:val="1"/>
      <w:numFmt w:val="lowerLetter"/>
      <w:lvlText w:val="%5)"/>
      <w:lvlJc w:val="left"/>
      <w:pPr>
        <w:ind w:left="2939" w:hanging="420"/>
      </w:pPr>
    </w:lvl>
    <w:lvl w:ilvl="5" w:tentative="0">
      <w:start w:val="1"/>
      <w:numFmt w:val="lowerRoman"/>
      <w:lvlText w:val="%6."/>
      <w:lvlJc w:val="right"/>
      <w:pPr>
        <w:ind w:left="3359" w:hanging="420"/>
      </w:pPr>
    </w:lvl>
    <w:lvl w:ilvl="6" w:tentative="0">
      <w:start w:val="1"/>
      <w:numFmt w:val="decimal"/>
      <w:lvlText w:val="%7."/>
      <w:lvlJc w:val="left"/>
      <w:pPr>
        <w:ind w:left="3779" w:hanging="420"/>
      </w:pPr>
    </w:lvl>
    <w:lvl w:ilvl="7" w:tentative="0">
      <w:start w:val="1"/>
      <w:numFmt w:val="lowerLetter"/>
      <w:lvlText w:val="%8)"/>
      <w:lvlJc w:val="left"/>
      <w:pPr>
        <w:ind w:left="4199" w:hanging="420"/>
      </w:pPr>
    </w:lvl>
    <w:lvl w:ilvl="8" w:tentative="0">
      <w:start w:val="1"/>
      <w:numFmt w:val="lowerRoman"/>
      <w:lvlText w:val="%9."/>
      <w:lvlJc w:val="right"/>
      <w:pPr>
        <w:ind w:left="4619" w:hanging="420"/>
      </w:pPr>
    </w:lvl>
  </w:abstractNum>
  <w:abstractNum w:abstractNumId="4">
    <w:nsid w:val="47AA0EFF"/>
    <w:multiLevelType w:val="multilevel"/>
    <w:tmpl w:val="47AA0EFF"/>
    <w:lvl w:ilvl="0" w:tentative="0">
      <w:start w:val="3"/>
      <w:numFmt w:val="none"/>
      <w:lvlText w:val="三、"/>
      <w:lvlJc w:val="left"/>
      <w:pPr>
        <w:ind w:left="1679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099" w:hanging="420"/>
      </w:pPr>
    </w:lvl>
    <w:lvl w:ilvl="2" w:tentative="0">
      <w:start w:val="1"/>
      <w:numFmt w:val="lowerRoman"/>
      <w:lvlText w:val="%3."/>
      <w:lvlJc w:val="right"/>
      <w:pPr>
        <w:ind w:left="2519" w:hanging="420"/>
      </w:pPr>
    </w:lvl>
    <w:lvl w:ilvl="3" w:tentative="0">
      <w:start w:val="1"/>
      <w:numFmt w:val="decimal"/>
      <w:lvlText w:val="%4."/>
      <w:lvlJc w:val="left"/>
      <w:pPr>
        <w:ind w:left="2939" w:hanging="420"/>
      </w:pPr>
    </w:lvl>
    <w:lvl w:ilvl="4" w:tentative="0">
      <w:start w:val="1"/>
      <w:numFmt w:val="lowerLetter"/>
      <w:lvlText w:val="%5)"/>
      <w:lvlJc w:val="left"/>
      <w:pPr>
        <w:ind w:left="3359" w:hanging="420"/>
      </w:pPr>
    </w:lvl>
    <w:lvl w:ilvl="5" w:tentative="0">
      <w:start w:val="1"/>
      <w:numFmt w:val="lowerRoman"/>
      <w:lvlText w:val="%6."/>
      <w:lvlJc w:val="right"/>
      <w:pPr>
        <w:ind w:left="3779" w:hanging="420"/>
      </w:pPr>
    </w:lvl>
    <w:lvl w:ilvl="6" w:tentative="0">
      <w:start w:val="1"/>
      <w:numFmt w:val="decimal"/>
      <w:lvlText w:val="%7."/>
      <w:lvlJc w:val="left"/>
      <w:pPr>
        <w:ind w:left="4199" w:hanging="420"/>
      </w:pPr>
    </w:lvl>
    <w:lvl w:ilvl="7" w:tentative="0">
      <w:start w:val="1"/>
      <w:numFmt w:val="lowerLetter"/>
      <w:lvlText w:val="%8)"/>
      <w:lvlJc w:val="left"/>
      <w:pPr>
        <w:ind w:left="4619" w:hanging="420"/>
      </w:pPr>
    </w:lvl>
    <w:lvl w:ilvl="8" w:tentative="0">
      <w:start w:val="1"/>
      <w:numFmt w:val="lowerRoman"/>
      <w:lvlText w:val="%9."/>
      <w:lvlJc w:val="right"/>
      <w:pPr>
        <w:ind w:left="5039" w:hanging="420"/>
      </w:pPr>
    </w:lvl>
  </w:abstractNum>
  <w:abstractNum w:abstractNumId="5">
    <w:nsid w:val="494B73FF"/>
    <w:multiLevelType w:val="multilevel"/>
    <w:tmpl w:val="494B73FF"/>
    <w:lvl w:ilvl="0" w:tentative="0">
      <w:start w:val="1"/>
      <w:numFmt w:val="bullet"/>
      <w:lvlText w:val=""/>
      <w:lvlPicBulletId w:val="0"/>
      <w:lvlJc w:val="left"/>
      <w:pPr>
        <w:ind w:left="1260" w:hanging="420"/>
      </w:pPr>
      <w:rPr>
        <w:rFonts w:hint="default" w:ascii="Symbol" w:hAnsi="Symbol"/>
        <w:color w:val="4A452A" w:themeColor="background2" w:themeShade="40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6">
    <w:nsid w:val="5B923C9A"/>
    <w:multiLevelType w:val="multilevel"/>
    <w:tmpl w:val="5B923C9A"/>
    <w:lvl w:ilvl="0" w:tentative="0">
      <w:start w:val="1"/>
      <w:numFmt w:val="japaneseCounting"/>
      <w:lvlText w:val="第%1章"/>
      <w:lvlJc w:val="left"/>
      <w:pPr>
        <w:ind w:left="740" w:hanging="7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3425D6"/>
    <w:multiLevelType w:val="multilevel"/>
    <w:tmpl w:val="7C3425D6"/>
    <w:lvl w:ilvl="0" w:tentative="0">
      <w:start w:val="1"/>
      <w:numFmt w:val="bullet"/>
      <w:lvlText w:val=""/>
      <w:lvlJc w:val="left"/>
      <w:pPr>
        <w:ind w:left="27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69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11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53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95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37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79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21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633" w:hanging="420"/>
      </w:pPr>
      <w:rPr>
        <w:rFonts w:hint="default" w:ascii="Wingdings" w:hAnsi="Wingdings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866"/>
    <w:rsid w:val="0001057D"/>
    <w:rsid w:val="00043051"/>
    <w:rsid w:val="00140AA7"/>
    <w:rsid w:val="001411F7"/>
    <w:rsid w:val="00154201"/>
    <w:rsid w:val="00172659"/>
    <w:rsid w:val="00175A2D"/>
    <w:rsid w:val="00177902"/>
    <w:rsid w:val="00185508"/>
    <w:rsid w:val="00191E14"/>
    <w:rsid w:val="001D722F"/>
    <w:rsid w:val="001D7E09"/>
    <w:rsid w:val="001F4069"/>
    <w:rsid w:val="00204276"/>
    <w:rsid w:val="00213FB9"/>
    <w:rsid w:val="002215FE"/>
    <w:rsid w:val="002271D6"/>
    <w:rsid w:val="00227C31"/>
    <w:rsid w:val="002568A5"/>
    <w:rsid w:val="00257C97"/>
    <w:rsid w:val="00295221"/>
    <w:rsid w:val="002E6FEF"/>
    <w:rsid w:val="003120DB"/>
    <w:rsid w:val="00327737"/>
    <w:rsid w:val="003535D9"/>
    <w:rsid w:val="00355C1F"/>
    <w:rsid w:val="00361349"/>
    <w:rsid w:val="003A7521"/>
    <w:rsid w:val="003C7027"/>
    <w:rsid w:val="00420734"/>
    <w:rsid w:val="00444901"/>
    <w:rsid w:val="0044625B"/>
    <w:rsid w:val="00493866"/>
    <w:rsid w:val="004A644D"/>
    <w:rsid w:val="004B7898"/>
    <w:rsid w:val="004B7B66"/>
    <w:rsid w:val="005D4843"/>
    <w:rsid w:val="006349D4"/>
    <w:rsid w:val="00637441"/>
    <w:rsid w:val="00682EC5"/>
    <w:rsid w:val="006C4B1E"/>
    <w:rsid w:val="006E78E2"/>
    <w:rsid w:val="00736D35"/>
    <w:rsid w:val="00764414"/>
    <w:rsid w:val="0077111B"/>
    <w:rsid w:val="007801A2"/>
    <w:rsid w:val="00813910"/>
    <w:rsid w:val="00820E44"/>
    <w:rsid w:val="00877441"/>
    <w:rsid w:val="008E5408"/>
    <w:rsid w:val="008F7954"/>
    <w:rsid w:val="0096472A"/>
    <w:rsid w:val="009760AE"/>
    <w:rsid w:val="009804C8"/>
    <w:rsid w:val="00993771"/>
    <w:rsid w:val="009A001A"/>
    <w:rsid w:val="009B1514"/>
    <w:rsid w:val="009D4ADD"/>
    <w:rsid w:val="009F6BFD"/>
    <w:rsid w:val="00A16389"/>
    <w:rsid w:val="00A24E5E"/>
    <w:rsid w:val="00A30940"/>
    <w:rsid w:val="00A90903"/>
    <w:rsid w:val="00AA59F7"/>
    <w:rsid w:val="00C01F63"/>
    <w:rsid w:val="00C40FC8"/>
    <w:rsid w:val="00C643F7"/>
    <w:rsid w:val="00CA00C0"/>
    <w:rsid w:val="00D12480"/>
    <w:rsid w:val="00D17476"/>
    <w:rsid w:val="00DB4F5C"/>
    <w:rsid w:val="00DB7E26"/>
    <w:rsid w:val="00DE5A4B"/>
    <w:rsid w:val="00E02A32"/>
    <w:rsid w:val="00E23F36"/>
    <w:rsid w:val="00E36230"/>
    <w:rsid w:val="00E47230"/>
    <w:rsid w:val="00E873AB"/>
    <w:rsid w:val="00ED10AF"/>
    <w:rsid w:val="00ED6817"/>
    <w:rsid w:val="00F46CEE"/>
    <w:rsid w:val="00F51682"/>
    <w:rsid w:val="00F55ABD"/>
    <w:rsid w:val="00F565A9"/>
    <w:rsid w:val="00F757C3"/>
    <w:rsid w:val="00FA6D03"/>
    <w:rsid w:val="00FC311E"/>
    <w:rsid w:val="00FD23CA"/>
    <w:rsid w:val="00FF2CEE"/>
    <w:rsid w:val="05B116BA"/>
    <w:rsid w:val="07C27941"/>
    <w:rsid w:val="0A475ED9"/>
    <w:rsid w:val="0BBE2421"/>
    <w:rsid w:val="0CEF4C6A"/>
    <w:rsid w:val="10184688"/>
    <w:rsid w:val="148A07F5"/>
    <w:rsid w:val="14AD725A"/>
    <w:rsid w:val="15384F05"/>
    <w:rsid w:val="1A8C4399"/>
    <w:rsid w:val="1BE807FC"/>
    <w:rsid w:val="202B16DF"/>
    <w:rsid w:val="21040AB9"/>
    <w:rsid w:val="22544D00"/>
    <w:rsid w:val="22C750F8"/>
    <w:rsid w:val="268177FE"/>
    <w:rsid w:val="27306522"/>
    <w:rsid w:val="2BA324CA"/>
    <w:rsid w:val="2DBA7251"/>
    <w:rsid w:val="300A362B"/>
    <w:rsid w:val="394741F6"/>
    <w:rsid w:val="39B552D7"/>
    <w:rsid w:val="3A430CDA"/>
    <w:rsid w:val="3B4412F7"/>
    <w:rsid w:val="41390FBC"/>
    <w:rsid w:val="49911C36"/>
    <w:rsid w:val="49FD0B12"/>
    <w:rsid w:val="4AA60D04"/>
    <w:rsid w:val="4B294C6B"/>
    <w:rsid w:val="4B871AF1"/>
    <w:rsid w:val="4B87584B"/>
    <w:rsid w:val="4E3C251D"/>
    <w:rsid w:val="4EA83F84"/>
    <w:rsid w:val="4F7539AA"/>
    <w:rsid w:val="51387C30"/>
    <w:rsid w:val="51E92F56"/>
    <w:rsid w:val="53623793"/>
    <w:rsid w:val="590E34B5"/>
    <w:rsid w:val="59573EAE"/>
    <w:rsid w:val="599F5D22"/>
    <w:rsid w:val="5A76356C"/>
    <w:rsid w:val="63332512"/>
    <w:rsid w:val="657C2CCD"/>
    <w:rsid w:val="66634C44"/>
    <w:rsid w:val="69AD2B62"/>
    <w:rsid w:val="6A711E97"/>
    <w:rsid w:val="6BEC5CA8"/>
    <w:rsid w:val="71B4519C"/>
    <w:rsid w:val="736D3207"/>
    <w:rsid w:val="76FF3FA7"/>
    <w:rsid w:val="7CF00D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6"/>
    <w:semiHidden/>
    <w:unhideWhenUsed/>
    <w:qFormat/>
    <w:uiPriority w:val="99"/>
    <w:pPr>
      <w:spacing w:after="120"/>
      <w:ind w:left="420" w:leftChars="2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2"/>
    <w:link w:val="17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styleId="10">
    <w:name w:val="Emphasis"/>
    <w:basedOn w:val="9"/>
    <w:qFormat/>
    <w:uiPriority w:val="0"/>
    <w:rPr>
      <w:i/>
      <w:iCs/>
    </w:rPr>
  </w:style>
  <w:style w:type="character" w:customStyle="1" w:styleId="11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2">
    <w:name w:val="正文 A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3">
    <w:name w:val="页眉 Char"/>
    <w:basedOn w:val="9"/>
    <w:link w:val="5"/>
    <w:qFormat/>
    <w:uiPriority w:val="0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正文文本缩进 Char"/>
    <w:basedOn w:val="9"/>
    <w:link w:val="2"/>
    <w:semiHidden/>
    <w:qFormat/>
    <w:uiPriority w:val="99"/>
  </w:style>
  <w:style w:type="character" w:customStyle="1" w:styleId="17">
    <w:name w:val="正文首行缩进 2 Char"/>
    <w:basedOn w:val="16"/>
    <w:link w:val="7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8">
    <w:name w:val="List Paragraph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1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819D54-7999-43CF-960A-2A3843E1EB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695</Words>
  <Characters>3963</Characters>
  <Lines>33</Lines>
  <Paragraphs>9</Paragraphs>
  <TotalTime>10</TotalTime>
  <ScaleCrop>false</ScaleCrop>
  <LinksUpToDate>false</LinksUpToDate>
  <CharactersWithSpaces>4649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2019-02-19T09:12:00Z</dcterms:created>
  <dc:creator>唐丽娟</dc:creator>
  <cp:lastModifiedBy>笛韵清远</cp:lastModifiedBy>
  <dcterms:modified xsi:type="dcterms:W3CDTF">2019-09-24T09:01:10Z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